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header+xml" PartName="/word/header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80" w:before="200" w:line="312"/>
        <w:jc w:val="center"/>
      </w:pPr>
      <w:r>
        <w:rPr>
          <w:rFonts w:ascii="Arial" w:cs="Arial" w:eastAsia="Arial" w:hAnsi="Arial"/>
          <w:b/>
          <w:bCs/>
          <w:smallCaps/>
          <w:color w:val="8A6D3B"/>
          <w:sz w:val="20"/>
          <w:szCs w:val="20"/>
        </w:rPr>
        <w:t xml:space="preserve">THE NEVADA CONSERVATIVE</w:t>
      </w:r>
    </w:p>
    <w:p>
      <w:pPr>
        <w:spacing w:after="400" w:before="0" w:line="312"/>
        <w:jc w:val="center"/>
      </w:pPr>
      <w:r>
        <w:rPr>
          <w:rFonts w:ascii="Arial" w:cs="Arial" w:eastAsia="Arial" w:hAnsi="Arial"/>
          <w:smallCaps/>
          <w:color w:val="5C5C5C"/>
          <w:sz w:val="18"/>
          <w:szCs w:val="18"/>
        </w:rPr>
        <w:t xml:space="preserve">PODCAST COMPANION</w:t>
      </w:r>
    </w:p>
    <w:p>
      <w:pPr>
        <w:spacing w:after="80" w:before="0" w:line="312"/>
        <w:jc w:val="center"/>
      </w:pPr>
      <w:r>
        <w:rPr>
          <w:rFonts w:ascii="Georgia" w:cs="Georgia" w:eastAsia="Georgia" w:hAnsi="Georgia"/>
          <w:b/>
          <w:bCs/>
          <w:color w:val="1B2A4A"/>
          <w:sz w:val="56"/>
          <w:szCs w:val="56"/>
        </w:rPr>
        <w:t xml:space="preserve">Three Systems</w:t>
      </w:r>
    </w:p>
    <w:p>
      <w:pPr>
        <w:spacing w:after="200" w:before="0" w:line="312"/>
        <w:jc w:val="center"/>
      </w:pPr>
      <w:r>
        <w:rPr>
          <w:rFonts w:ascii="Georgia" w:cs="Georgia" w:eastAsia="Georgia" w:hAnsi="Georgia"/>
          <w:i/>
          <w:iCs/>
          <w:color w:val="8A6D3B"/>
          <w:sz w:val="32"/>
          <w:szCs w:val="32"/>
        </w:rPr>
        <w:t xml:space="preserve">How They Began and What They Teach</w:t>
      </w:r>
    </w:p>
    <w:p>
      <w:pPr>
        <w:pBdr>
          <w:bottom w:val="single" w:color="8A6D3B" w:sz="12" w:space="1"/>
        </w:pBdr>
        <w:spacing w:after="200" w:before="80"/>
      </w:pPr>
      <w:r>
        <w:rPr>
          <w:rFonts w:ascii="Georgia" w:cs="Georgia" w:eastAsia="Georgia" w:hAnsi="Georgia"/>
          <w:color w:val="2C2C2C"/>
          <w:sz w:val="22"/>
          <w:szCs w:val="22"/>
        </w:rPr>
        <w:t xml:space="preserve"/>
      </w:r>
    </w:p>
    <w:p>
      <w:pPr>
        <w:spacing w:after="80" w:before="0" w:line="312"/>
        <w:jc w:val="center"/>
      </w:pPr>
      <w:r>
        <w:rPr>
          <w:rFonts w:ascii="Arial" w:cs="Arial" w:eastAsia="Arial" w:hAnsi="Arial"/>
          <w:b/>
          <w:bCs/>
          <w:color w:val="1B2A4A"/>
          <w:sz w:val="22"/>
          <w:szCs w:val="22"/>
        </w:rPr>
        <w:t xml:space="preserve">Islam  ·  Communism  ·  Capitalism</w:t>
      </w:r>
    </w:p>
    <w:p>
      <w:pPr>
        <w:spacing w:after="40" w:before="0" w:line="312"/>
        <w:jc w:val="center"/>
      </w:pPr>
      <w:r>
        <w:rPr>
          <w:rFonts w:ascii="Georgia" w:cs="Georgia" w:eastAsia="Georgia" w:hAnsi="Georgia"/>
          <w:i/>
          <w:iCs/>
          <w:color w:val="5C5C5C"/>
          <w:sz w:val="20"/>
          <w:szCs w:val="20"/>
        </w:rPr>
        <w:t xml:space="preserve">The full narratives prepared for The Nevada Conservative Podcast</w:t>
      </w:r>
    </w:p>
    <w:p>
      <w:pPr>
        <w:spacing w:after="360" w:before="0" w:line="312"/>
        <w:jc w:val="center"/>
      </w:pPr>
      <w:r>
        <w:rPr>
          <w:rFonts w:ascii="Arial" w:cs="Arial" w:eastAsia="Arial" w:hAnsi="Arial"/>
          <w:color w:val="5C5C5C"/>
          <w:sz w:val="18"/>
          <w:szCs w:val="18"/>
        </w:rPr>
        <w:t xml:space="preserve">Hosted by Sherman Ray</w:t>
      </w:r>
    </w:p>
    <w:p>
      <w:pPr>
        <w:spacing w:after="80" w:before="0" w:line="312"/>
        <w:jc w:val="center"/>
      </w:pPr>
      <w:r>
        <w:rPr>
          <w:rFonts w:ascii="Arial" w:cs="Arial" w:eastAsia="Arial" w:hAnsi="Arial"/>
          <w:color w:val="5C5C5C"/>
          <w:sz w:val="18"/>
          <w:szCs w:val="18"/>
        </w:rPr>
        <w:t xml:space="preserve">September 2026</w:t>
      </w:r>
    </w:p>
    <w:p>
      <w:pPr>
        <w:spacing w:after="400" w:before="0" w:line="312"/>
        <w:jc w:val="center"/>
      </w:pPr>
      <w:r>
        <w:rPr>
          <w:rFonts w:ascii="Arial" w:cs="Arial" w:eastAsia="Arial" w:hAnsi="Arial"/>
          <w:color w:val="8A6D3B"/>
          <w:sz w:val="18"/>
          <w:szCs w:val="18"/>
        </w:rPr>
        <w:t xml:space="preserve">thenevadaconservative.com</w:t>
      </w:r>
    </w:p>
    <w:p>
      <w:pPr>
        <w:pStyle w:val="Heading2"/>
        <w:keepNext/>
        <w:spacing w:after="120" w:before="280" w:line="312"/>
        <w:jc w:val="left"/>
      </w:pPr>
      <w:r>
        <w:rPr>
          <w:rFonts w:ascii="Arial" w:cs="Arial" w:eastAsia="Arial" w:hAnsi="Arial"/>
          <w:b/>
          <w:bCs/>
          <w:color w:val="8A6D3B"/>
          <w:sz w:val="24"/>
          <w:szCs w:val="24"/>
        </w:rPr>
        <w:t xml:space="preserve">A Note to the Listener</w:t>
      </w:r>
    </w:p>
    <w:p>
      <w:pPr>
        <w:spacing w:after="220" w:before="0" w:line="312"/>
        <w:jc w:val="both"/>
      </w:pPr>
      <w:r>
        <w:rPr>
          <w:rFonts w:ascii="Georgia" w:cs="Georgia" w:eastAsia="Georgia" w:hAnsi="Georgia"/>
          <w:color w:val="2C2C2C"/>
          <w:sz w:val="22"/>
          <w:szCs w:val="22"/>
        </w:rPr>
        <w:t xml:space="preserve">These pages are the full companion narratives written for a Nevada Conservative podcast episode on three systems that still compete for the American mind: Islam, Communism, and Capitalism. The broadcast has to move. A host cannot read every date, every turning point, and every hard clause on the air without losing the room. This document is for the listener who wanted the whole story.</w:t>
      </w:r>
    </w:p>
    <w:p>
      <w:pPr>
        <w:spacing w:after="220" w:before="0" w:line="312"/>
        <w:jc w:val="both"/>
      </w:pPr>
      <w:r>
        <w:rPr>
          <w:rFonts w:ascii="Georgia" w:cs="Georgia" w:eastAsia="Georgia" w:hAnsi="Georgia"/>
          <w:color w:val="2C2C2C"/>
          <w:sz w:val="22"/>
          <w:szCs w:val="22"/>
        </w:rPr>
        <w:t xml:space="preserve">Each section is written as a narrative on purpose. It is easier to follow a life than a lecture. Muhammad, Karl Marx, and Adam Smith are not treated as mascots. They are treated as men who left systems — a law, a party doctrine, and a commercial order — that still ask something of a free people on election day.</w:t>
      </w:r>
    </w:p>
    <w:p>
      <w:pPr>
        <w:spacing w:after="220" w:before="0" w:line="312"/>
        <w:jc w:val="both"/>
      </w:pPr>
      <w:r>
        <w:rPr>
          <w:rFonts w:ascii="Georgia" w:cs="Georgia" w:eastAsia="Georgia" w:hAnsi="Georgia"/>
          <w:color w:val="2C2C2C"/>
          <w:sz w:val="22"/>
          <w:szCs w:val="22"/>
        </w:rPr>
        <w:t xml:space="preserve">The aim is not to slander a neighbor who prays, or a worker who wants a fair wage, or a shopkeeper who wants to be left alone. The aim is to say plainly how each system began, what it teaches when you read the founding texts instead of the brochure, and what it does when it gets a state. Primary sources remain the last word. This is a briefing, not scripture and not a party program.</w:t>
      </w:r>
    </w:p>
    <w:p>
      <w:pPr>
        <w:pStyle w:val="Heading1"/>
        <w:keepNext/>
        <w:spacing w:after="160" w:before="80" w:line="312"/>
        <w:jc w:val="left"/>
      </w:pPr>
      <w:r>
        <w:rPr>
          <w:rFonts w:ascii="Arial" w:cs="Arial" w:eastAsia="Arial" w:hAnsi="Arial"/>
          <w:b/>
          <w:bCs/>
          <w:color w:val="1B2A4A"/>
          <w:sz w:val="36"/>
          <w:szCs w:val="36"/>
        </w:rPr>
        <w:t xml:space="preserve">I.  Islam</w:t>
      </w:r>
    </w:p>
    <w:p>
      <w:pPr>
        <w:spacing w:after="280" w:before="0" w:line="312"/>
        <w:jc w:val="center"/>
      </w:pPr>
      <w:r>
        <w:rPr>
          <w:rFonts w:ascii="Arial" w:cs="Arial" w:eastAsia="Arial" w:hAnsi="Arial"/>
          <w:i/>
          <w:iCs/>
          <w:color w:val="5C5C5C"/>
          <w:sz w:val="16"/>
          <w:szCs w:val="16"/>
        </w:rPr>
        <w:t xml:space="preserve">How it began, and what it teaches</w:t>
      </w:r>
    </w:p>
    <w:p>
      <w:pPr>
        <w:pBdr>
          <w:bottom w:val="single" w:color="C4B49A" w:sz="6" w:space="1"/>
        </w:pBdr>
        <w:spacing w:after="160" w:before="60"/>
      </w:pPr>
      <w:r>
        <w:rPr>
          <w:rFonts w:ascii="Georgia" w:cs="Georgia" w:eastAsia="Georgia" w:hAnsi="Georgia"/>
          <w:color w:val="2C2C2C"/>
          <w:sz w:val="22"/>
          <w:szCs w:val="22"/>
        </w:rPr>
        <w:t xml:space="preserve"/>
      </w:r>
    </w:p>
    <w:p>
      <w:pPr>
        <w:spacing w:after="220" w:before="0" w:line="312"/>
        <w:jc w:val="both"/>
      </w:pPr>
      <w:r>
        <w:rPr>
          <w:rFonts w:ascii="Georgia" w:cs="Georgia" w:eastAsia="Georgia" w:hAnsi="Georgia"/>
          <w:color w:val="2C2C2C"/>
          <w:sz w:val="22"/>
          <w:szCs w:val="22"/>
        </w:rPr>
        <w:t xml:space="preserve">Muhammad was a man born around the year 570 in Mecca, a desert trading town in what is now Saudi Arabia. He belonged to the Quraysh tribe, the clan that ran the town and guarded its shrine, the Kaaba. At that time the Kaaba was filled with the idols of many Arab tribes. Pilgrims came, traded, and worshiped. That traffic was Mecca’s living.</w:t>
      </w:r>
    </w:p>
    <w:p>
      <w:pPr>
        <w:spacing w:after="220" w:before="0" w:line="312"/>
        <w:jc w:val="both"/>
      </w:pPr>
      <w:r>
        <w:rPr>
          <w:rFonts w:ascii="Georgia" w:cs="Georgia" w:eastAsia="Georgia" w:hAnsi="Georgia"/>
          <w:color w:val="2C2C2C"/>
          <w:sz w:val="22"/>
          <w:szCs w:val="22"/>
        </w:rPr>
        <w:t xml:space="preserve">His early life was hard. His father died before he was born. His mother died when he was a boy. Relatives raised him. He was not a prince. He worked as a shepherd, then as a caravan merchant. People called him al-Amin, “the trustworthy.” As a young man he went to work for a wealthy widow named Khadija. She was older than he was. She hired him, then married him. That marriage gave him standing and a home. For years he lived as a trader and a family man.</w:t>
      </w:r>
    </w:p>
    <w:p>
      <w:pPr>
        <w:spacing w:after="220" w:before="0" w:line="312"/>
        <w:jc w:val="both"/>
      </w:pPr>
      <w:r>
        <w:rPr>
          <w:rFonts w:ascii="Georgia" w:cs="Georgia" w:eastAsia="Georgia" w:hAnsi="Georgia"/>
          <w:color w:val="2C2C2C"/>
          <w:sz w:val="22"/>
          <w:szCs w:val="22"/>
        </w:rPr>
        <w:t xml:space="preserve">Something changed when he was about forty. He had taken to going up into the hills outside Mecca to be alone. In a cave on Mount Hira, in the year 610, he said the angel Gabriel seized him and commanded him to “Recite.” Those words, Muslims believe, were the first lines of the Quran — not Muhammad’s thoughts, but God’s speech in Arabic. He was terrified. Khadija believed him. She became his first follower.</w:t>
      </w:r>
    </w:p>
    <w:p>
      <w:pPr>
        <w:spacing w:after="220" w:before="0" w:line="312"/>
        <w:jc w:val="both"/>
      </w:pPr>
      <w:r>
        <w:rPr>
          <w:rFonts w:ascii="Georgia" w:cs="Georgia" w:eastAsia="Georgia" w:hAnsi="Georgia"/>
          <w:color w:val="2C2C2C"/>
          <w:sz w:val="22"/>
          <w:szCs w:val="22"/>
        </w:rPr>
        <w:t xml:space="preserve">For the next twelve years he preached in Mecca. The message was simple and sharp. There is one God. The idols in the Kaaba are nothing. A Day of Judgment is coming. The rich should not crush the poor. Jesus and Moses were real prophets, but their followers had lost the original teaching. He, Muhammad, was the last messenger.</w:t>
      </w:r>
    </w:p>
    <w:p>
      <w:pPr>
        <w:spacing w:after="220" w:before="0" w:line="312"/>
        <w:jc w:val="both"/>
      </w:pPr>
      <w:r>
        <w:rPr>
          <w:rFonts w:ascii="Georgia" w:cs="Georgia" w:eastAsia="Georgia" w:hAnsi="Georgia"/>
          <w:color w:val="2C2C2C"/>
          <w:sz w:val="22"/>
          <w:szCs w:val="22"/>
        </w:rPr>
        <w:t xml:space="preserve">A few people listened — the poor, some slaves, some younger relatives. Most of the town’s leaders did not. If there is only one God, the shrine business dies. If a man’s standing comes from his tribe and his idols, this new preacher is a threat. They mocked him, then squeezed his clan, then persecuted his followers. Some of those followers fled across the Red Sea to Christian Ethiopia. In 619 his wife died and his protective uncle died in the same stretch of time. Without that uncle, his own clan would no longer shield him. Mecca had become too dangerous.</w:t>
      </w:r>
    </w:p>
    <w:p>
      <w:pPr>
        <w:spacing w:after="220" w:before="0" w:line="312"/>
        <w:jc w:val="both"/>
      </w:pPr>
      <w:r>
        <w:rPr>
          <w:rFonts w:ascii="Georgia" w:cs="Georgia" w:eastAsia="Georgia" w:hAnsi="Georgia"/>
          <w:color w:val="2C2C2C"/>
          <w:sz w:val="22"/>
          <w:szCs w:val="22"/>
        </w:rPr>
        <w:t xml:space="preserve">In 622 he left.</w:t>
      </w:r>
    </w:p>
    <w:p>
      <w:pPr>
        <w:spacing w:after="220" w:before="0" w:line="312"/>
        <w:jc w:val="both"/>
      </w:pPr>
      <w:r>
        <w:rPr>
          <w:rFonts w:ascii="Georgia" w:cs="Georgia" w:eastAsia="Georgia" w:hAnsi="Georgia"/>
          <w:color w:val="2C2C2C"/>
          <w:sz w:val="22"/>
          <w:szCs w:val="22"/>
        </w:rPr>
        <w:t xml:space="preserve">He did not wander. Leaders in an oasis town about two hundred miles north — Yathrib — asked him to come and settle their blood feuds. He and his followers slipped out of Mecca and went there. Muslims call that flight the Hijra. It is year one of the Islamic calendar. Yathrib was renamed Medina, “the city of the Prophet.”</w:t>
      </w:r>
    </w:p>
    <w:p>
      <w:pPr>
        <w:spacing w:after="220" w:before="0" w:line="312"/>
        <w:jc w:val="both"/>
      </w:pPr>
      <w:r>
        <w:rPr>
          <w:rFonts w:ascii="Georgia" w:cs="Georgia" w:eastAsia="Georgia" w:hAnsi="Georgia"/>
          <w:color w:val="2C2C2C"/>
          <w:sz w:val="22"/>
          <w:szCs w:val="22"/>
        </w:rPr>
        <w:t xml:space="preserve">That move changed everything. In Mecca he had been a preacher with no army. In Medina he became the head of a community that made law, kept order, and fought. He drew up an agreement among the Muslim immigrants from Mecca, the local Arab converts, and several Jewish clans. They would defend the town together. Each group could keep its religion. Disputes would be brought to God and to Muhammad. It was the seed of an Islamic state, not only a prayer circle.</w:t>
      </w:r>
    </w:p>
    <w:p>
      <w:pPr>
        <w:spacing w:after="220" w:before="0" w:line="312"/>
        <w:jc w:val="both"/>
      </w:pPr>
      <w:r>
        <w:rPr>
          <w:rFonts w:ascii="Georgia" w:cs="Georgia" w:eastAsia="Georgia" w:hAnsi="Georgia"/>
          <w:color w:val="2C2C2C"/>
          <w:sz w:val="22"/>
          <w:szCs w:val="22"/>
        </w:rPr>
        <w:t xml:space="preserve">Then came the wars with Mecca. His people raided Meccan caravans. In 624, at Badr, a smaller Muslim force beat a larger Meccan one. Muslims read that as God’s hand. A year later they lost at Uhud. In 627 Mecca and its allies besieged Medina and failed. After that siege, the Jewish tribe of Banu Qurayza was accused of treachery. According to the Muslim historical tradition, their fighting men were executed and their women and children were taken as captives. In 628 Muhammad signed a truce with Mecca. Two years later the truce broke down and he marched on the city. Mecca surrendered. He smashed the idols in the Kaaba and most of the old elite were spared if they submitted. By the time he died in 632, much of the Arabian Peninsula had come under his authority.</w:t>
      </w:r>
    </w:p>
    <w:p>
      <w:pPr>
        <w:spacing w:after="220" w:before="0" w:line="312"/>
        <w:jc w:val="both"/>
      </w:pPr>
      <w:r>
        <w:rPr>
          <w:rFonts w:ascii="Georgia" w:cs="Georgia" w:eastAsia="Georgia" w:hAnsi="Georgia"/>
          <w:color w:val="2C2C2C"/>
          <w:sz w:val="22"/>
          <w:szCs w:val="22"/>
        </w:rPr>
        <w:t xml:space="preserve">He left no son to inherit and no clear written plan for who would rule next. His closest companions chose Abu Bakr. Tribes that had pledged themselves to Muhammad tried to peel away. Abu Bakr fought them in the Ridda wars — the wars of apostasy and secession. Then the Arab armies poured north, east, and west. In a single lifetime after Muhammad’s death they took the old Christian Holy Land, Egypt, and the Persian Empire. That is how a preacher from a small town became the founder of a world religion and a world empire.</w:t>
      </w:r>
    </w:p>
    <w:p>
      <w:pPr>
        <w:spacing w:after="220" w:before="0" w:line="312"/>
        <w:jc w:val="both"/>
      </w:pPr>
      <w:r>
        <w:rPr>
          <w:rFonts w:ascii="Georgia" w:cs="Georgia" w:eastAsia="Georgia" w:hAnsi="Georgia"/>
          <w:color w:val="2C2C2C"/>
          <w:sz w:val="22"/>
          <w:szCs w:val="22"/>
        </w:rPr>
        <w:t xml:space="preserve">That is how it began. Now, what does it teach?</w:t>
      </w:r>
    </w:p>
    <w:p>
      <w:pPr>
        <w:pStyle w:val="Heading2"/>
        <w:keepNext/>
        <w:spacing w:after="120" w:before="280" w:line="312"/>
        <w:jc w:val="left"/>
      </w:pPr>
      <w:r>
        <w:rPr>
          <w:rFonts w:ascii="Arial" w:cs="Arial" w:eastAsia="Arial" w:hAnsi="Arial"/>
          <w:b/>
          <w:bCs/>
          <w:color w:val="8A6D3B"/>
          <w:sz w:val="24"/>
          <w:szCs w:val="24"/>
        </w:rPr>
        <w:t xml:space="preserve">Creed and daily practice</w:t>
      </w:r>
    </w:p>
    <w:p>
      <w:pPr>
        <w:spacing w:after="220" w:before="0" w:line="312"/>
        <w:jc w:val="both"/>
      </w:pPr>
      <w:r>
        <w:rPr>
          <w:rFonts w:ascii="Georgia" w:cs="Georgia" w:eastAsia="Georgia" w:hAnsi="Georgia"/>
          <w:color w:val="2C2C2C"/>
          <w:sz w:val="22"/>
          <w:szCs w:val="22"/>
        </w:rPr>
        <w:t xml:space="preserve">At the level of daily faith, Islam is built on a short list. Muslims are to believe in one God, in angels, in books God sent down, in the prophets, in a last judgment, and in God’s decree over all things. They are to say the testimony of faith: there is no god but God, and Muhammad is His messenger. They pray five times a day facing Mecca. They give a set portion of their wealth. They fast from dawn to dusk in the month of Ramadan. If they can, they make the pilgrimage to Mecca once in a lifetime.</w:t>
      </w:r>
    </w:p>
    <w:p>
      <w:pPr>
        <w:spacing w:after="220" w:before="0" w:line="312"/>
        <w:jc w:val="both"/>
      </w:pPr>
      <w:r>
        <w:rPr>
          <w:rFonts w:ascii="Georgia" w:cs="Georgia" w:eastAsia="Georgia" w:hAnsi="Georgia"/>
          <w:color w:val="2C2C2C"/>
          <w:sz w:val="22"/>
          <w:szCs w:val="22"/>
        </w:rPr>
        <w:t xml:space="preserve">God is not a Trinity and not a man. Jesus is honored as a prophet, not as the Son of God, and the standard Quranic reading says he was not crucified. Muhammad is the final prophet. The Quran, for a believer, is not “inspired writing.” It is God speaking.</w:t>
      </w:r>
    </w:p>
    <w:p>
      <w:pPr>
        <w:spacing w:after="220" w:before="0" w:line="312"/>
        <w:jc w:val="both"/>
      </w:pPr>
      <w:r>
        <w:rPr>
          <w:rFonts w:ascii="Georgia" w:cs="Georgia" w:eastAsia="Georgia" w:hAnsi="Georgia"/>
          <w:color w:val="2C2C2C"/>
          <w:sz w:val="22"/>
          <w:szCs w:val="22"/>
        </w:rPr>
        <w:t xml:space="preserve">That is the Islam most neighbors practice: prayer, fasting, family, hope of paradise.</w:t>
      </w:r>
    </w:p>
    <w:p>
      <w:pPr>
        <w:pStyle w:val="Heading2"/>
        <w:keepNext/>
        <w:spacing w:after="120" w:before="280" w:line="312"/>
        <w:jc w:val="left"/>
      </w:pPr>
      <w:r>
        <w:rPr>
          <w:rFonts w:ascii="Arial" w:cs="Arial" w:eastAsia="Arial" w:hAnsi="Arial"/>
          <w:b/>
          <w:bCs/>
          <w:color w:val="8A6D3B"/>
          <w:sz w:val="24"/>
          <w:szCs w:val="24"/>
        </w:rPr>
        <w:t xml:space="preserve">The political and legal core</w:t>
      </w:r>
    </w:p>
    <w:p>
      <w:pPr>
        <w:spacing w:after="220" w:before="0" w:line="312"/>
        <w:jc w:val="both"/>
      </w:pPr>
      <w:r>
        <w:rPr>
          <w:rFonts w:ascii="Georgia" w:cs="Georgia" w:eastAsia="Georgia" w:hAnsi="Georgia"/>
          <w:color w:val="2C2C2C"/>
          <w:sz w:val="22"/>
          <w:szCs w:val="22"/>
        </w:rPr>
        <w:t xml:space="preserve">There is another layer, and it is in the same books. After Muhammad gained power in Medina, the message was no longer only “believe and endure.” It became law for a state that fought, taxed, judged, and expanded.</w:t>
      </w:r>
    </w:p>
    <w:p>
      <w:pPr>
        <w:spacing w:after="220" w:before="0" w:line="312"/>
        <w:jc w:val="both"/>
      </w:pPr>
      <w:r>
        <w:rPr>
          <w:rFonts w:ascii="Georgia" w:cs="Georgia" w:eastAsia="Georgia" w:hAnsi="Georgia"/>
          <w:color w:val="2C2C2C"/>
          <w:sz w:val="22"/>
          <w:szCs w:val="22"/>
        </w:rPr>
        <w:t xml:space="preserve">Fighting in God’s path — jihad — is not only an inner struggle against sin. In the later chapters of the Quran and in the law books built on Muhammad’s example, it is also armed struggle. One verse tells believers that fighting is prescribed even though they dislike it. Another says to fight until the religion is all for God. The famous “sword verse” in chapter 9 tells them, once a grace period ends, to kill the polytheists wherever they find them, unless those people repent, pray, and pay the alms tax. Another verse in the same chapter tells them to fight Jews and Christians until those people pay a special tax, the jizya, and live in a humbled state under Muslim rule. Early Muslim scholars often taught that these later verses replaced the earlier, gentler ones from the Mecca years. That idea — that a later command can cancel an earlier one — is why a verse that says “there is no compulsion in religion” and a law that kills the apostate can sit in the same tradition.</w:t>
      </w:r>
    </w:p>
    <w:p>
      <w:pPr>
        <w:spacing w:after="220" w:before="0" w:line="312"/>
        <w:jc w:val="both"/>
      </w:pPr>
      <w:r>
        <w:rPr>
          <w:rFonts w:ascii="Georgia" w:cs="Georgia" w:eastAsia="Georgia" w:hAnsi="Georgia"/>
          <w:color w:val="2C2C2C"/>
          <w:sz w:val="22"/>
          <w:szCs w:val="22"/>
        </w:rPr>
        <w:t xml:space="preserve">Leaving Islam is the test case. The Quran warns apostates about the next life. The Hadith, the collected reports of Muhammad’s words, is blunter. In a report that Sunni Islam ranks as authentic, the Prophet says: whoever changes his Islamic religion, kill him. The early caliphs and the four great Sunni law schools treated that as public law. A man who walks away from Islam, after a chance to return, is to be killed. That is still the official rule in several Muslim countries. It is also why Political Islam cannot accept a Western-style right to exit.</w:t>
      </w:r>
    </w:p>
    <w:p>
      <w:pPr>
        <w:spacing w:after="220" w:before="0" w:line="312"/>
        <w:jc w:val="both"/>
      </w:pPr>
      <w:r>
        <w:rPr>
          <w:rFonts w:ascii="Georgia" w:cs="Georgia" w:eastAsia="Georgia" w:hAnsi="Georgia"/>
          <w:color w:val="2C2C2C"/>
          <w:sz w:val="22"/>
          <w:szCs w:val="22"/>
        </w:rPr>
        <w:t xml:space="preserve">Non-Muslims under Islamic rule were not simply neighbors with different churches. Jews and Christians could live as protected people, dhimmis, if they paid the tax and accepted a lower legal place — limits on weapons, on new houses of worship, on testimony in court. Pagans, in the hard reading of chapter 9, were to convert or be fought. Slavery was not abolished. The Quran allows a man sexual access to “those his right hand possesses,” meaning female captives and slaves. The biographies describe that practice in Muhammad’s own campaigns.</w:t>
      </w:r>
    </w:p>
    <w:p>
      <w:pPr>
        <w:spacing w:after="220" w:before="0" w:line="312"/>
        <w:jc w:val="both"/>
      </w:pPr>
      <w:r>
        <w:rPr>
          <w:rFonts w:ascii="Georgia" w:cs="Georgia" w:eastAsia="Georgia" w:hAnsi="Georgia"/>
          <w:color w:val="2C2C2C"/>
          <w:sz w:val="22"/>
          <w:szCs w:val="22"/>
        </w:rPr>
        <w:t xml:space="preserve">Women are spiritual equals before God in many verses. They are not legal equals in the classical system. A daughter inherits half of what a son inherits. In some court matters two women stand for one man. A man may marry up to four wives. A Muslim man may marry a Christian or Jewish woman; a Muslim woman may not marry a non-Muslim man. A verse in chapter 4 has been read for centuries as allowing a husband to strike a wife who is rebellious.</w:t>
      </w:r>
    </w:p>
    <w:p>
      <w:pPr>
        <w:spacing w:after="220" w:before="0" w:line="312"/>
        <w:jc w:val="both"/>
      </w:pPr>
      <w:r>
        <w:rPr>
          <w:rFonts w:ascii="Georgia" w:cs="Georgia" w:eastAsia="Georgia" w:hAnsi="Georgia"/>
          <w:color w:val="2C2C2C"/>
          <w:sz w:val="22"/>
          <w:szCs w:val="22"/>
        </w:rPr>
        <w:t xml:space="preserve">None of that is a secret. It is in the founding texts and in the law manuals Muslims used for a thousand years. What is new is the habit, in the West, of quoting only the Mecca years and calling the rest a misunderstanding.</w:t>
      </w:r>
    </w:p>
    <w:p>
      <w:pPr>
        <w:pStyle w:val="Heading2"/>
        <w:keepNext/>
        <w:spacing w:after="120" w:before="280" w:line="312"/>
        <w:jc w:val="left"/>
      </w:pPr>
      <w:r>
        <w:rPr>
          <w:rFonts w:ascii="Arial" w:cs="Arial" w:eastAsia="Arial" w:hAnsi="Arial"/>
          <w:b/>
          <w:bCs/>
          <w:color w:val="8A6D3B"/>
          <w:sz w:val="24"/>
          <w:szCs w:val="24"/>
        </w:rPr>
        <w:t xml:space="preserve">Two ways this religion is lived</w:t>
      </w:r>
    </w:p>
    <w:p>
      <w:pPr>
        <w:spacing w:after="220" w:before="0" w:line="312"/>
        <w:jc w:val="both"/>
      </w:pPr>
      <w:r>
        <w:rPr>
          <w:rFonts w:ascii="Georgia" w:cs="Georgia" w:eastAsia="Georgia" w:hAnsi="Georgia"/>
          <w:color w:val="2C2C2C"/>
          <w:sz w:val="22"/>
          <w:szCs w:val="22"/>
        </w:rPr>
        <w:t xml:space="preserve">One is private. A man prays, keeps the fast, raises his children, wants to be left alone. That is real, and it describes a great many Muslims.</w:t>
      </w:r>
    </w:p>
    <w:p>
      <w:pPr>
        <w:spacing w:after="220" w:before="0" w:line="312"/>
        <w:jc w:val="both"/>
      </w:pPr>
      <w:r>
        <w:rPr>
          <w:rFonts w:ascii="Georgia" w:cs="Georgia" w:eastAsia="Georgia" w:hAnsi="Georgia"/>
          <w:color w:val="2C2C2C"/>
          <w:sz w:val="22"/>
          <w:szCs w:val="22"/>
        </w:rPr>
        <w:t xml:space="preserve">The other is political. It says Islam is not only worship. It is a complete order — law, army, taxes, family, and loyalty to the worldwide community of believers above the Constitution of any country. That reading takes Medina, not just Mecca, as the model. It is the reading of the Muslim Brotherhood, of Khomeini’s Iran, of the jihadist groups, and of the writers who talk about “civilization jihad”: change the schools, the courts, and the culture until Sharia is normal. That is the thing European leaders are trying to name when they talk about banning Political Islam. It is not “Muslims exist.” It is “God’s law must rule the state.”</w:t>
      </w:r>
    </w:p>
    <w:p>
      <w:pPr>
        <w:keepLines/>
        <w:pBdr>
          <w:left w:val="single" w:color="8A6D3B" w:sz="18" w:space="12"/>
        </w:pBdr>
        <w:spacing w:after="200" w:before="120" w:line="312"/>
        <w:ind w:left="480" w:right="360"/>
        <w:jc w:val="left"/>
      </w:pPr>
      <w:r>
        <w:rPr>
          <w:rFonts w:ascii="Georgia" w:cs="Georgia" w:eastAsia="Georgia" w:hAnsi="Georgia"/>
          <w:i/>
          <w:iCs/>
          <w:color w:val="1B2A4A"/>
          <w:sz w:val="21"/>
          <w:szCs w:val="21"/>
        </w:rPr>
        <w:t xml:space="preserve">Muhammad began as an orphaned merchant who said an angel spoke to him in a cave. He died as the master of Arabia. The faith he left behind asks the soul to submit to one God. The system that grew from his years in Medina asks societies to submit to a law. Those are not the same claim.</w:t>
      </w:r>
    </w:p>
    <w:p>
      <w:pPr>
        <w:pageBreakBefore/>
      </w:pPr>
      <w:r>
        <w:t xml:space="preserve"/>
      </w:r>
    </w:p>
    <w:p>
      <w:pPr>
        <w:pStyle w:val="Heading1"/>
        <w:keepNext/>
        <w:spacing w:after="160" w:before="80" w:line="312"/>
        <w:jc w:val="left"/>
      </w:pPr>
      <w:r>
        <w:rPr>
          <w:rFonts w:ascii="Arial" w:cs="Arial" w:eastAsia="Arial" w:hAnsi="Arial"/>
          <w:b/>
          <w:bCs/>
          <w:color w:val="1B2A4A"/>
          <w:sz w:val="36"/>
          <w:szCs w:val="36"/>
        </w:rPr>
        <w:t xml:space="preserve">II.  Communism</w:t>
      </w:r>
    </w:p>
    <w:p>
      <w:pPr>
        <w:spacing w:after="280" w:before="0" w:line="312"/>
        <w:jc w:val="center"/>
      </w:pPr>
      <w:r>
        <w:rPr>
          <w:rFonts w:ascii="Arial" w:cs="Arial" w:eastAsia="Arial" w:hAnsi="Arial"/>
          <w:i/>
          <w:iCs/>
          <w:color w:val="5C5C5C"/>
          <w:sz w:val="16"/>
          <w:szCs w:val="16"/>
        </w:rPr>
        <w:t xml:space="preserve">How it started, who Karl Marx was, and what it teaches</w:t>
      </w:r>
    </w:p>
    <w:p>
      <w:pPr>
        <w:pBdr>
          <w:bottom w:val="single" w:color="C4B49A" w:sz="6" w:space="1"/>
        </w:pBdr>
        <w:spacing w:after="160" w:before="60"/>
      </w:pPr>
      <w:r>
        <w:rPr>
          <w:rFonts w:ascii="Georgia" w:cs="Georgia" w:eastAsia="Georgia" w:hAnsi="Georgia"/>
          <w:color w:val="2C2C2C"/>
          <w:sz w:val="22"/>
          <w:szCs w:val="22"/>
        </w:rPr>
        <w:t xml:space="preserve"/>
      </w:r>
    </w:p>
    <w:p>
      <w:pPr>
        <w:spacing w:after="220" w:before="0" w:line="312"/>
        <w:jc w:val="both"/>
      </w:pPr>
      <w:r>
        <w:rPr>
          <w:rFonts w:ascii="Georgia" w:cs="Georgia" w:eastAsia="Georgia" w:hAnsi="Georgia"/>
          <w:color w:val="2C2C2C"/>
          <w:sz w:val="22"/>
          <w:szCs w:val="22"/>
        </w:rPr>
        <w:t xml:space="preserve">Karl Marx was a man born on May 5, 1818, in Trier, a quiet town on the Moselle River in what was then Prussia. His family was Jewish by ancestry. His father, a lawyer, had converted to Lutheranism so he could keep practicing law under Prussian rules. The household was educated and middle-class. It was not a factory floor.</w:t>
      </w:r>
    </w:p>
    <w:p>
      <w:pPr>
        <w:spacing w:after="220" w:before="0" w:line="312"/>
        <w:jc w:val="both"/>
      </w:pPr>
      <w:r>
        <w:rPr>
          <w:rFonts w:ascii="Georgia" w:cs="Georgia" w:eastAsia="Georgia" w:hAnsi="Georgia"/>
          <w:color w:val="2C2C2C"/>
          <w:sz w:val="22"/>
          <w:szCs w:val="22"/>
        </w:rPr>
        <w:t xml:space="preserve">His early life was the life of a bright, restless student. He went to the university at Bonn, then Berlin, to study law. He drifted into philosophy instead. The big name in German thought then was Hegel: history, Hegel said, moves through conflict toward freedom. Young radicals took that idea and turned it against the churches, the kings, and the old order. Marx became one of them. He earned a doctorate in philosophy. He wanted a university chair. The Prussian state did not want a young atheist radical on the faculty. So he became a journalist.</w:t>
      </w:r>
    </w:p>
    <w:p>
      <w:pPr>
        <w:spacing w:after="220" w:before="0" w:line="312"/>
        <w:jc w:val="both"/>
      </w:pPr>
      <w:r>
        <w:rPr>
          <w:rFonts w:ascii="Georgia" w:cs="Georgia" w:eastAsia="Georgia" w:hAnsi="Georgia"/>
          <w:color w:val="2C2C2C"/>
          <w:sz w:val="22"/>
          <w:szCs w:val="22"/>
        </w:rPr>
        <w:t xml:space="preserve">He married Jenny von Westphalen, a woman from a higher social class who had known him since they were young. They loved each other and stayed married through poverty, exile, and the deaths of children. That matters only because the man who later wrote that the bourgeois family was a sham lived inside a very old-fashioned marriage, often on money from her family and from his partner.</w:t>
      </w:r>
    </w:p>
    <w:p>
      <w:pPr>
        <w:spacing w:after="220" w:before="0" w:line="312"/>
        <w:jc w:val="both"/>
      </w:pPr>
      <w:r>
        <w:rPr>
          <w:rFonts w:ascii="Georgia" w:cs="Georgia" w:eastAsia="Georgia" w:hAnsi="Georgia"/>
          <w:color w:val="2C2C2C"/>
          <w:sz w:val="22"/>
          <w:szCs w:val="22"/>
        </w:rPr>
        <w:t xml:space="preserve">The partner was Friedrich Engels. They met in Paris in 1844. Engels was the son of a German textile manufacturer. He had seen the mills of Manchester — the smoke, the child labor, the slums. He had the factory money. Marx had the system. They became a pair for life. Engels would later keep Marx’s household from collapsing while Marx sat in the British Museum and wrote.</w:t>
      </w:r>
    </w:p>
    <w:p>
      <w:pPr>
        <w:spacing w:after="220" w:before="0" w:line="312"/>
        <w:jc w:val="both"/>
      </w:pPr>
      <w:r>
        <w:rPr>
          <w:rFonts w:ascii="Georgia" w:cs="Georgia" w:eastAsia="Georgia" w:hAnsi="Georgia"/>
          <w:color w:val="2C2C2C"/>
          <w:sz w:val="22"/>
          <w:szCs w:val="22"/>
        </w:rPr>
        <w:t xml:space="preserve">Europe in those years was being torn up by the Industrial Revolution. Peasants left the land. Cities filled with people who owned nothing but their ability to work. Owners of mills and mines grew rich. Recessions came in waves. Socialists already existed — dreamers who wanted co-ops, model towns, fairer shares. Marx decided they were amateurs. He wanted what he called a science of history, not a sermon.</w:t>
      </w:r>
    </w:p>
    <w:p>
      <w:pPr>
        <w:spacing w:after="220" w:before="0" w:line="312"/>
        <w:jc w:val="both"/>
      </w:pPr>
      <w:r>
        <w:rPr>
          <w:rFonts w:ascii="Georgia" w:cs="Georgia" w:eastAsia="Georgia" w:hAnsi="Georgia"/>
          <w:color w:val="2C2C2C"/>
          <w:sz w:val="22"/>
          <w:szCs w:val="22"/>
        </w:rPr>
        <w:t xml:space="preserve">Governments kept throwing him out. Prussia squeezed his newspaper. France expelled him. Belgium expelled him. After the failed revolutions of 1848 he landed in London and never really left. He lived there until he died on March 14, 1883. He is buried in Highgate Cemetery. For much of that London life he was poor. Several of his children died. He wrote articles for a New York paper to eat. Engels sent cash. In 1867 the first volume of his big book, Capital, came out. The later volumes were finished by Engels after Marx was gone.</w:t>
      </w:r>
    </w:p>
    <w:p>
      <w:pPr>
        <w:spacing w:after="220" w:before="0" w:line="312"/>
        <w:jc w:val="both"/>
      </w:pPr>
      <w:r>
        <w:rPr>
          <w:rFonts w:ascii="Georgia" w:cs="Georgia" w:eastAsia="Georgia" w:hAnsi="Georgia"/>
          <w:color w:val="2C2C2C"/>
          <w:sz w:val="22"/>
          <w:szCs w:val="22"/>
        </w:rPr>
        <w:t xml:space="preserve">The short book that made his name came earlier. In late 1847 a small group of German radicals, the Communist League, asked Marx and Engels to write their program. In February 1848 it appeared: The Manifesto of the Communist Party. Revolutions were already breaking out across Europe. The pamphlet opened with a line built for the ear: “A spectre is haunting Europe — the spectre of communism.” It closed with another: “Workers of the world, unite!”</w:t>
      </w:r>
    </w:p>
    <w:p>
      <w:pPr>
        <w:spacing w:after="220" w:before="0" w:line="312"/>
        <w:jc w:val="both"/>
      </w:pPr>
      <w:r>
        <w:rPr>
          <w:rFonts w:ascii="Georgia" w:cs="Georgia" w:eastAsia="Georgia" w:hAnsi="Georgia"/>
          <w:color w:val="2C2C2C"/>
          <w:sz w:val="22"/>
          <w:szCs w:val="22"/>
        </w:rPr>
        <w:t xml:space="preserve">That is how it started. Not with a prophet in a cave and an empire in one generation, as with Muhammad. It started with a German philosopher in reading rooms, a factory owner’s son as his backer, and a claim that history itself had a direction — and that they had found it.</w:t>
      </w:r>
    </w:p>
    <w:p>
      <w:pPr>
        <w:pStyle w:val="Heading2"/>
        <w:keepNext/>
        <w:spacing w:after="120" w:before="280" w:line="312"/>
        <w:jc w:val="left"/>
      </w:pPr>
      <w:r>
        <w:rPr>
          <w:rFonts w:ascii="Arial" w:cs="Arial" w:eastAsia="Arial" w:hAnsi="Arial"/>
          <w:b/>
          <w:bCs/>
          <w:color w:val="8A6D3B"/>
          <w:sz w:val="24"/>
          <w:szCs w:val="24"/>
        </w:rPr>
        <w:t xml:space="preserve">What communism teaches</w:t>
      </w:r>
    </w:p>
    <w:p>
      <w:pPr>
        <w:spacing w:after="220" w:before="0" w:line="312"/>
        <w:jc w:val="both"/>
      </w:pPr>
      <w:r>
        <w:rPr>
          <w:rFonts w:ascii="Georgia" w:cs="Georgia" w:eastAsia="Georgia" w:hAnsi="Georgia"/>
          <w:color w:val="2C2C2C"/>
          <w:sz w:val="22"/>
          <w:szCs w:val="22"/>
        </w:rPr>
        <w:t xml:space="preserve">It teaches first that the real story of the world is not kings, not God, not great men. It is class. In every age, Marx said, a few people own the way work is done — land, tools, factories — and the many work for them. Masters and slaves. Lords and serfs. Capitalists and workers. The owners are the bourgeoisie. The workers who sell their time because they own no factory are the proletariat. Those two cannot be reconciled. Their fight is the engine of history.</w:t>
      </w:r>
    </w:p>
    <w:p>
      <w:pPr>
        <w:spacing w:after="220" w:before="0" w:line="312"/>
        <w:jc w:val="both"/>
      </w:pPr>
      <w:r>
        <w:rPr>
          <w:rFonts w:ascii="Georgia" w:cs="Georgia" w:eastAsia="Georgia" w:hAnsi="Georgia"/>
          <w:color w:val="2C2C2C"/>
          <w:sz w:val="22"/>
          <w:szCs w:val="22"/>
        </w:rPr>
        <w:t xml:space="preserve">It teaches that ideas, laws, churches, and newspapers sit on top of that economic base. Change who owns the mills and you will change the rest. Religion, in this picture, is not a window onto God. It is a painkiller. Marx called it “the opium of the people” — a comfort that helps the wounded endure a wound he thought could be cured by politics.</w:t>
      </w:r>
    </w:p>
    <w:p>
      <w:pPr>
        <w:spacing w:after="220" w:before="0" w:line="312"/>
        <w:jc w:val="both"/>
      </w:pPr>
      <w:r>
        <w:rPr>
          <w:rFonts w:ascii="Georgia" w:cs="Georgia" w:eastAsia="Georgia" w:hAnsi="Georgia"/>
          <w:color w:val="2C2C2C"/>
          <w:sz w:val="22"/>
          <w:szCs w:val="22"/>
        </w:rPr>
        <w:t xml:space="preserve">It teaches that capitalism is brilliant and doomed. It piles up machines and wealth as no system before it. It also, Marx said, squeezes the people who run those machines. The owner pays a wage. The worker creates more value than that wage. The difference — “surplus value” — is the owner’s profit. That, for Marx, is not a fair bargain. It is exploitation, even when nobody is whipped. Competition then forces owners to cut costs, replace men with machines, and crash into crises. The system digs its own grave. The grave-diggers are the workers, packed into cities, taught by the factory to act together.</w:t>
      </w:r>
    </w:p>
    <w:p>
      <w:pPr>
        <w:spacing w:after="220" w:before="0" w:line="312"/>
        <w:jc w:val="both"/>
      </w:pPr>
      <w:r>
        <w:rPr>
          <w:rFonts w:ascii="Georgia" w:cs="Georgia" w:eastAsia="Georgia" w:hAnsi="Georgia"/>
          <w:color w:val="2C2C2C"/>
          <w:sz w:val="22"/>
          <w:szCs w:val="22"/>
        </w:rPr>
        <w:t xml:space="preserve">It teaches that the way out is not a nicer boss. It is revolution. The working class takes the state. Marx called the next stage the “dictatorship of the proletariat.” That phrase does not mean a polite majority. It means the winners use state power — courts, police, confiscation — to break the old owning class so it cannot come back. In the Manifesto he and Engels listed the first steps in advanced countries: take the land, slam a heavy progressive tax on income, abolish inheritance, seize the property of émigrés and rebels, put credit in a state bank, put transport and communication under the state, force an equal liability of all to work, combine farms and factories on a common plan, and give free education in public schools. They summed up the theory in one sentence: abolition of private property. They meant the kind of property that lets one man command another man’s labor — land, mills, banks — not your toothbrush. In practice, every government that took them at their word took far more than the toothbrush.</w:t>
      </w:r>
    </w:p>
    <w:p>
      <w:pPr>
        <w:spacing w:after="220" w:before="0" w:line="312"/>
        <w:jc w:val="both"/>
      </w:pPr>
      <w:r>
        <w:rPr>
          <w:rFonts w:ascii="Georgia" w:cs="Georgia" w:eastAsia="Georgia" w:hAnsi="Georgia"/>
          <w:color w:val="2C2C2C"/>
          <w:sz w:val="22"/>
          <w:szCs w:val="22"/>
        </w:rPr>
        <w:t xml:space="preserve">It teaches that after that iron season, the state will “wither away.” Classes will vanish. Goods will be produced by a common plan and handed out by the rule Marx later wrote down: from each according to his ability, to each according to his needs. Nations will fade because “the working men have no country.” That last claim is the seed of the international party, and of the habit of treating patriotism as a trick the bosses use to split the workers.</w:t>
      </w:r>
    </w:p>
    <w:p>
      <w:pPr>
        <w:spacing w:after="220" w:before="0" w:line="312"/>
        <w:jc w:val="both"/>
      </w:pPr>
      <w:r>
        <w:rPr>
          <w:rFonts w:ascii="Georgia" w:cs="Georgia" w:eastAsia="Georgia" w:hAnsi="Georgia"/>
          <w:color w:val="2C2C2C"/>
          <w:sz w:val="22"/>
          <w:szCs w:val="22"/>
        </w:rPr>
        <w:t xml:space="preserve">Notice what is missing. There is no God. There is no next life that balances the scales. There is History. The party that claims to speak for History becomes, in the real world, a priesthood with secret police.</w:t>
      </w:r>
    </w:p>
    <w:p>
      <w:pPr>
        <w:pStyle w:val="Heading2"/>
        <w:keepNext/>
        <w:spacing w:after="120" w:before="280" w:line="312"/>
        <w:jc w:val="left"/>
      </w:pPr>
      <w:r>
        <w:rPr>
          <w:rFonts w:ascii="Arial" w:cs="Arial" w:eastAsia="Arial" w:hAnsi="Arial"/>
          <w:b/>
          <w:bCs/>
          <w:color w:val="8A6D3B"/>
          <w:sz w:val="24"/>
          <w:szCs w:val="24"/>
        </w:rPr>
        <w:t xml:space="preserve">From the book to the state</w:t>
      </w:r>
    </w:p>
    <w:p>
      <w:pPr>
        <w:spacing w:after="220" w:before="0" w:line="312"/>
        <w:jc w:val="both"/>
      </w:pPr>
      <w:r>
        <w:rPr>
          <w:rFonts w:ascii="Georgia" w:cs="Georgia" w:eastAsia="Georgia" w:hAnsi="Georgia"/>
          <w:color w:val="2C2C2C"/>
          <w:sz w:val="22"/>
          <w:szCs w:val="22"/>
        </w:rPr>
        <w:t xml:space="preserve">Marx did not live to run a country. The men who did said they were completing his work. Lenin, in Russia in 1917, added the vanguard: a tight party of professionals that acts in the workers’ name because the workers, left alone, will only ask for a raise. The party seizes the state, then the grain, then the factories. When peasants resist, the party calls it class war. Stalin built that into a machine — famine in Ukraine, the Gulag, the purge. Mao did it at continental scale: land reform by terror, then the Great Leap Forward, then the Cultural Revolution. Pol Pot tried to empty the cities and restart the calendar at year zero. Cuba, North Korea, Ethiopia, Venezuela — different flags, same skeleton: one party, no independent owners, no independent courts, a secret police, and a story that every failure is sabotage by the old class or by foreign capitalists.</w:t>
      </w:r>
    </w:p>
    <w:p>
      <w:pPr>
        <w:spacing w:after="220" w:before="0" w:line="312"/>
        <w:jc w:val="both"/>
      </w:pPr>
      <w:r>
        <w:rPr>
          <w:rFonts w:ascii="Georgia" w:cs="Georgia" w:eastAsia="Georgia" w:hAnsi="Georgia"/>
          <w:color w:val="2C2C2C"/>
          <w:sz w:val="22"/>
          <w:szCs w:val="22"/>
        </w:rPr>
        <w:t xml:space="preserve">The death numbers are argued over, as big historical numbers always are. The Black Book of Communism put the total near one hundred million across the century if you count executions, camps, deportations, and the famines that happened under forced grain seizures and failed plans. Some of that book’s own authors said the editor stretched to hit a round number, and they did not want every hunger death stacked next to a bullet in the neck as if the intent were identical. Fair enough. Even the lower scholarly ranges still run into the tens of millions. The Holodomor, the Kazakh famine, the Great Leap, the Killing Fields, and the camps are not talking points. They are what happened when a party that owned the truth also owned the food.</w:t>
      </w:r>
    </w:p>
    <w:p>
      <w:pPr>
        <w:spacing w:after="220" w:before="0" w:line="312"/>
        <w:jc w:val="both"/>
      </w:pPr>
      <w:r>
        <w:rPr>
          <w:rFonts w:ascii="Georgia" w:cs="Georgia" w:eastAsia="Georgia" w:hAnsi="Georgia"/>
          <w:color w:val="2C2C2C"/>
          <w:sz w:val="22"/>
          <w:szCs w:val="22"/>
        </w:rPr>
        <w:t xml:space="preserve">People will tell you that was “not real communism.” Marx’s own writings give them a hook: the end-state was supposed to be stateless and abundant. Every real attempt used a state more total than the kings Marx hated, and the abundance never arrived. The pattern is not a coincidence. If you abolish private property in the means of production, someone still has to decide what is grown, what is built, and who eats. That someone is the party. A party that cannot be voted out does not wither. It feeds.</w:t>
      </w:r>
    </w:p>
    <w:p>
      <w:pPr>
        <w:spacing w:after="220" w:before="0" w:line="312"/>
        <w:jc w:val="both"/>
      </w:pPr>
      <w:r>
        <w:rPr>
          <w:rFonts w:ascii="Georgia" w:cs="Georgia" w:eastAsia="Georgia" w:hAnsi="Georgia"/>
          <w:color w:val="2C2C2C"/>
          <w:sz w:val="22"/>
          <w:szCs w:val="22"/>
        </w:rPr>
        <w:t xml:space="preserve">There is a softer vocabulary now. “Democratic socialism.” “The rich should pay their fair share.” Public schools and fire departments get dragged in as if they were the Manifesto. They are not. Nordic countries that Americans are told to copy run markets, private firms, and property rights, then tax heavily to buy services. They did not abolish the owning class. Organizations that speak a language much closer to the old one still talk about seizing the commanding heights, weakening the police, open borders as class solidarity, and treating the American founding as a bourgeois obstacle. The polite slogan is compassion. The older text is still about who may own, who may speak, and who may rule.</w:t>
      </w:r>
    </w:p>
    <w:p>
      <w:pPr>
        <w:keepLines/>
        <w:pBdr>
          <w:left w:val="single" w:color="8A6D3B" w:sz="18" w:space="12"/>
        </w:pBdr>
        <w:spacing w:after="200" w:before="120" w:line="312"/>
        <w:ind w:left="480" w:right="360"/>
        <w:jc w:val="left"/>
      </w:pPr>
      <w:r>
        <w:rPr>
          <w:rFonts w:ascii="Georgia" w:cs="Georgia" w:eastAsia="Georgia" w:hAnsi="Georgia"/>
          <w:i/>
          <w:iCs/>
          <w:color w:val="1B2A4A"/>
          <w:sz w:val="21"/>
          <w:szCs w:val="21"/>
        </w:rPr>
        <w:t xml:space="preserve">Marx was a gifted hater of hypocrisy and a brilliant anatomist of industrial misery. He was also a man who reduced persons to their class, faith to a drug, and politics to a war that only ends when the other side is finished as a class. That teaching does not stay in a book. When it gets a secret police and a grain quota, you already know the rest of the story.</w:t>
      </w:r>
    </w:p>
    <w:p>
      <w:pPr>
        <w:pageBreakBefore/>
      </w:pPr>
      <w:r>
        <w:t xml:space="preserve"/>
      </w:r>
    </w:p>
    <w:p>
      <w:pPr>
        <w:pStyle w:val="Heading1"/>
        <w:keepNext/>
        <w:spacing w:after="160" w:before="80" w:line="312"/>
        <w:jc w:val="left"/>
      </w:pPr>
      <w:r>
        <w:rPr>
          <w:rFonts w:ascii="Arial" w:cs="Arial" w:eastAsia="Arial" w:hAnsi="Arial"/>
          <w:b/>
          <w:bCs/>
          <w:color w:val="1B2A4A"/>
          <w:sz w:val="36"/>
          <w:szCs w:val="36"/>
        </w:rPr>
        <w:t xml:space="preserve">III.  Capitalism</w:t>
      </w:r>
    </w:p>
    <w:p>
      <w:pPr>
        <w:spacing w:after="280" w:before="0" w:line="312"/>
        <w:jc w:val="center"/>
      </w:pPr>
      <w:r>
        <w:rPr>
          <w:rFonts w:ascii="Arial" w:cs="Arial" w:eastAsia="Arial" w:hAnsi="Arial"/>
          <w:i/>
          <w:iCs/>
          <w:color w:val="5C5C5C"/>
          <w:sz w:val="16"/>
          <w:szCs w:val="16"/>
        </w:rPr>
        <w:t xml:space="preserve">How it started, and what it teaches</w:t>
      </w:r>
    </w:p>
    <w:p>
      <w:pPr>
        <w:pBdr>
          <w:bottom w:val="single" w:color="C4B49A" w:sz="6" w:space="1"/>
        </w:pBdr>
        <w:spacing w:after="160" w:before="60"/>
      </w:pPr>
      <w:r>
        <w:rPr>
          <w:rFonts w:ascii="Georgia" w:cs="Georgia" w:eastAsia="Georgia" w:hAnsi="Georgia"/>
          <w:color w:val="2C2C2C"/>
          <w:sz w:val="22"/>
          <w:szCs w:val="22"/>
        </w:rPr>
        <w:t xml:space="preserve"/>
      </w:r>
    </w:p>
    <w:p>
      <w:pPr>
        <w:spacing w:after="220" w:before="0" w:line="312"/>
        <w:jc w:val="both"/>
      </w:pPr>
      <w:r>
        <w:rPr>
          <w:rFonts w:ascii="Georgia" w:cs="Georgia" w:eastAsia="Georgia" w:hAnsi="Georgia"/>
          <w:color w:val="2C2C2C"/>
          <w:sz w:val="22"/>
          <w:szCs w:val="22"/>
        </w:rPr>
        <w:t xml:space="preserve">Capitalism did not begin with a prophet in a cave or a philosopher with a manifesto and a party. That is the first thing to say, because it is the difference between this system and the two already covered.</w:t>
      </w:r>
    </w:p>
    <w:p>
      <w:pPr>
        <w:spacing w:after="220" w:before="0" w:line="312"/>
        <w:jc w:val="both"/>
      </w:pPr>
      <w:r>
        <w:rPr>
          <w:rFonts w:ascii="Georgia" w:cs="Georgia" w:eastAsia="Georgia" w:hAnsi="Georgia"/>
          <w:color w:val="2C2C2C"/>
          <w:sz w:val="22"/>
          <w:szCs w:val="22"/>
        </w:rPr>
        <w:t xml:space="preserve">People have traded for as long as they have had extra food and a neighbor who wanted it. Markets are old. What we now call capitalism is newer. It is what happens when a society lets ordinary people own the tools of production — land, shops, ships, machines, savings — sell what they make, hire others by agreement, keep the profit if they guess right, and eat the loss if they guess wrong. No caliph assigns the bakery. No central committee assigns the mill. Prices do the coordinating.</w:t>
      </w:r>
    </w:p>
    <w:p>
      <w:pPr>
        <w:spacing w:after="220" w:before="0" w:line="312"/>
        <w:jc w:val="both"/>
      </w:pPr>
      <w:r>
        <w:rPr>
          <w:rFonts w:ascii="Georgia" w:cs="Georgia" w:eastAsia="Georgia" w:hAnsi="Georgia"/>
          <w:color w:val="2C2C2C"/>
          <w:sz w:val="22"/>
          <w:szCs w:val="22"/>
        </w:rPr>
        <w:t xml:space="preserve">That arrangement grew in pieces.</w:t>
      </w:r>
    </w:p>
    <w:p>
      <w:pPr>
        <w:spacing w:after="220" w:before="0" w:line="312"/>
        <w:jc w:val="both"/>
      </w:pPr>
      <w:r>
        <w:rPr>
          <w:rFonts w:ascii="Georgia" w:cs="Georgia" w:eastAsia="Georgia" w:hAnsi="Georgia"/>
          <w:color w:val="2C2C2C"/>
          <w:sz w:val="22"/>
          <w:szCs w:val="22"/>
        </w:rPr>
        <w:t xml:space="preserve">In the late Middle Ages, Italian and Flemish towns learned to keep books, lend at interest, and split the risk of a voyage among many backers. In the 1600s the Dutch made it a national habit. They had thrown off a king. Property was safer there than in most of Europe. In 1602 they chartered the Dutch East India Company. Shares could be bought and sold. Amsterdam got a stock exchange. A man who would never set foot on a ship could own a sliver of a fleet. England followed, slowly. The English East India Company was chartered in 1600. After the Glorious Revolution of 1688, Parliament clipped the crown, property felt safer, and in 1694 the Bank of England appeared. Credit, debt, and joint-stock firms stopped being rare tricks and became a system. Then came coal, steam, and the factory. Britain’s industrial takeoff in the late 1700s was not a theory. It was workshops, canals, and people leaving the village because a wage in town beat a life on someone else’s land.</w:t>
      </w:r>
    </w:p>
    <w:p>
      <w:pPr>
        <w:spacing w:after="220" w:before="0" w:line="312"/>
        <w:jc w:val="both"/>
      </w:pPr>
      <w:r>
        <w:rPr>
          <w:rFonts w:ascii="Georgia" w:cs="Georgia" w:eastAsia="Georgia" w:hAnsi="Georgia"/>
          <w:color w:val="2C2C2C"/>
          <w:sz w:val="22"/>
          <w:szCs w:val="22"/>
        </w:rPr>
        <w:t xml:space="preserve">Somebody had to explain what was already working.</w:t>
      </w:r>
    </w:p>
    <w:p>
      <w:pPr>
        <w:pStyle w:val="Heading2"/>
        <w:keepNext/>
        <w:spacing w:after="120" w:before="280" w:line="312"/>
        <w:jc w:val="left"/>
      </w:pPr>
      <w:r>
        <w:rPr>
          <w:rFonts w:ascii="Arial" w:cs="Arial" w:eastAsia="Arial" w:hAnsi="Arial"/>
          <w:b/>
          <w:bCs/>
          <w:color w:val="8A6D3B"/>
          <w:sz w:val="24"/>
          <w:szCs w:val="24"/>
        </w:rPr>
        <w:t xml:space="preserve">Adam Smith</w:t>
      </w:r>
    </w:p>
    <w:p>
      <w:pPr>
        <w:spacing w:after="220" w:before="0" w:line="312"/>
        <w:jc w:val="both"/>
      </w:pPr>
      <w:r>
        <w:rPr>
          <w:rFonts w:ascii="Georgia" w:cs="Georgia" w:eastAsia="Georgia" w:hAnsi="Georgia"/>
          <w:color w:val="2C2C2C"/>
          <w:sz w:val="22"/>
          <w:szCs w:val="22"/>
        </w:rPr>
        <w:t xml:space="preserve">That somebody was Adam Smith. He was a man baptized in June 1723 in Kirkcaldy, a small Scottish port. His father, a customs official, died before he was born. His mother raised him. He was a shy, absent-minded scholar. At fourteen he went to the University of Glasgow. He later spent years at Oxford and thought the teaching there was lazy. He came home, lectured, and became a professor of moral philosophy at Glasgow. In 1759 he published The Theory of Moral Sentiments. That book is about sympathy — how we judge right and wrong by putting ourselves in another person’s place. It is not a hymn to greed. Only later, in 1776, the same year the Americans declared independence, did he publish the book that made his name: An Inquiry into the Nature and Causes of the Wealth of Nations.</w:t>
      </w:r>
    </w:p>
    <w:p>
      <w:pPr>
        <w:spacing w:after="220" w:before="0" w:line="312"/>
        <w:jc w:val="both"/>
      </w:pPr>
      <w:r>
        <w:rPr>
          <w:rFonts w:ascii="Georgia" w:cs="Georgia" w:eastAsia="Georgia" w:hAnsi="Georgia"/>
          <w:color w:val="2C2C2C"/>
          <w:sz w:val="22"/>
          <w:szCs w:val="22"/>
        </w:rPr>
        <w:t xml:space="preserve">Smith was not designing a utopia. He was watching pin factories, grain markets, and colonial trade, and asking a simple question: why are some nations rich? His answer was not gold in a king’s vault. Spain had hauled gold out of the New World and still lagged. Wealth, he said, is what a people can produce and exchange. The secret is the division of labor. One man making a pin by himself is slow. Ten men, each doing one step, make thousands. Specialization needs a market wide enough to sell the extra. A market needs peace, honest courts, and the freedom to trade across parish and border. When a butcher, a brewer, and a baker work for their own dinner, you still get your meal — not because they love you, but because serving you is how they serve themselves. Smith called that the “invisible hand.” He did not mean a spirit in the sky. He meant that, under competition and decent rules, private aims can produce a public result nobody planned.</w:t>
      </w:r>
    </w:p>
    <w:p>
      <w:pPr>
        <w:spacing w:after="220" w:before="0" w:line="312"/>
        <w:jc w:val="both"/>
      </w:pPr>
      <w:r>
        <w:rPr>
          <w:rFonts w:ascii="Georgia" w:cs="Georgia" w:eastAsia="Georgia" w:hAnsi="Georgia"/>
          <w:color w:val="2C2C2C"/>
          <w:sz w:val="22"/>
          <w:szCs w:val="22"/>
        </w:rPr>
        <w:t xml:space="preserve">He died in Edinburgh in 1790. He never ran a state. He did not need to. The system he described was already running, imperfectly, in shops and ports.</w:t>
      </w:r>
    </w:p>
    <w:p>
      <w:pPr>
        <w:pStyle w:val="Heading2"/>
        <w:keepNext/>
        <w:spacing w:after="120" w:before="280" w:line="312"/>
        <w:jc w:val="left"/>
      </w:pPr>
      <w:r>
        <w:rPr>
          <w:rFonts w:ascii="Arial" w:cs="Arial" w:eastAsia="Arial" w:hAnsi="Arial"/>
          <w:b/>
          <w:bCs/>
          <w:color w:val="8A6D3B"/>
          <w:sz w:val="24"/>
          <w:szCs w:val="24"/>
        </w:rPr>
        <w:t xml:space="preserve">What capitalism teaches</w:t>
      </w:r>
    </w:p>
    <w:p>
      <w:pPr>
        <w:spacing w:after="220" w:before="0" w:line="312"/>
        <w:jc w:val="both"/>
      </w:pPr>
      <w:r>
        <w:rPr>
          <w:rFonts w:ascii="Georgia" w:cs="Georgia" w:eastAsia="Georgia" w:hAnsi="Georgia"/>
          <w:color w:val="2C2C2C"/>
          <w:sz w:val="22"/>
          <w:szCs w:val="22"/>
        </w:rPr>
        <w:t xml:space="preserve">It teaches that you own yourself, and that what you mix your labor with — a field you clear, a tool you buy, a firm you build — can be yours. John Locke had put that in political language a century before Smith: life, liberty, and property. If the fruit of your work can be taken by a lord, a party, or a mob, you will not plant the orchard.</w:t>
      </w:r>
    </w:p>
    <w:p>
      <w:pPr>
        <w:spacing w:after="220" w:before="0" w:line="312"/>
        <w:jc w:val="both"/>
      </w:pPr>
      <w:r>
        <w:rPr>
          <w:rFonts w:ascii="Georgia" w:cs="Georgia" w:eastAsia="Georgia" w:hAnsi="Georgia"/>
          <w:color w:val="2C2C2C"/>
          <w:sz w:val="22"/>
          <w:szCs w:val="22"/>
        </w:rPr>
        <w:t xml:space="preserve">It teaches that trade is not a trick. When both sides say yes, both sides expect to leave better off. That is the opposite of a raid and the opposite of a quota. A price is not a moral insult. It is information. A high price says “we need more of this.” A falling price says “we have enough.” No committee has to know how many shoes Cleveland wants in November. Millions of yes-and-no decisions write the answer every day.</w:t>
      </w:r>
    </w:p>
    <w:p>
      <w:pPr>
        <w:spacing w:after="220" w:before="0" w:line="312"/>
        <w:jc w:val="both"/>
      </w:pPr>
      <w:r>
        <w:rPr>
          <w:rFonts w:ascii="Georgia" w:cs="Georgia" w:eastAsia="Georgia" w:hAnsi="Georgia"/>
          <w:color w:val="2C2C2C"/>
          <w:sz w:val="22"/>
          <w:szCs w:val="22"/>
        </w:rPr>
        <w:t xml:space="preserve">It teaches that profit is not theft by definition. Profit is the signal that you turned something people valued less into something they value more. Loss is the signal that you wasted effort. Bankruptcy is a teacher. A system that forbids failure has to hide the bad news until the warehouses are empty.</w:t>
      </w:r>
    </w:p>
    <w:p>
      <w:pPr>
        <w:spacing w:after="220" w:before="0" w:line="312"/>
        <w:jc w:val="both"/>
      </w:pPr>
      <w:r>
        <w:rPr>
          <w:rFonts w:ascii="Georgia" w:cs="Georgia" w:eastAsia="Georgia" w:hAnsi="Georgia"/>
          <w:color w:val="2C2C2C"/>
          <w:sz w:val="22"/>
          <w:szCs w:val="22"/>
        </w:rPr>
        <w:t xml:space="preserve">It teaches competition. One seller can gouge if he is the only door in town. Ten sellers cannot, for long. The customer walks. Monopoly is the enemy of the capitalist idea, even when a capitalist is the one asking the government for the monopoly. Smith spent pages attacking merchants who wanted the state to lock out rivals. That habit has a name now: crony capitalism. It is not the doctrine. It is the doctrine’s counterfeit — the old mercantilist urge to use law as a weapon.</w:t>
      </w:r>
    </w:p>
    <w:p>
      <w:pPr>
        <w:spacing w:after="220" w:before="0" w:line="312"/>
        <w:jc w:val="both"/>
      </w:pPr>
      <w:r>
        <w:rPr>
          <w:rFonts w:ascii="Georgia" w:cs="Georgia" w:eastAsia="Georgia" w:hAnsi="Georgia"/>
          <w:color w:val="2C2C2C"/>
          <w:sz w:val="22"/>
          <w:szCs w:val="22"/>
        </w:rPr>
        <w:t xml:space="preserve">It teaches that the government’s job is narrow and serious: keep the peace, enforce contracts, punish fraud, defend the border, and refrain from picking winners. Smith was not an anarchist. He wanted public works and a basic education for the children of the poor. He did not want the sovereign running the pin factory.</w:t>
      </w:r>
    </w:p>
    <w:p>
      <w:pPr>
        <w:spacing w:after="220" w:before="0" w:line="312"/>
        <w:jc w:val="both"/>
      </w:pPr>
      <w:r>
        <w:rPr>
          <w:rFonts w:ascii="Georgia" w:cs="Georgia" w:eastAsia="Georgia" w:hAnsi="Georgia"/>
          <w:color w:val="2C2C2C"/>
          <w:sz w:val="22"/>
          <w:szCs w:val="22"/>
        </w:rPr>
        <w:t xml:space="preserve">It teaches something moral that gets skipped in slogans. Because exchange is voluntary, you have to offer other people something they want. You cannot preach them into buying. You cannot conscript their labor as a class. The customer is not a comrade to be re-educated. He is a person who can say no. That “no” is a kind of equality the other two systems find inconvenient.</w:t>
      </w:r>
    </w:p>
    <w:p>
      <w:pPr>
        <w:pStyle w:val="Heading2"/>
        <w:keepNext/>
        <w:spacing w:after="120" w:before="280" w:line="312"/>
        <w:jc w:val="left"/>
      </w:pPr>
      <w:r>
        <w:rPr>
          <w:rFonts w:ascii="Arial" w:cs="Arial" w:eastAsia="Arial" w:hAnsi="Arial"/>
          <w:b/>
          <w:bCs/>
          <w:color w:val="8A6D3B"/>
          <w:sz w:val="24"/>
          <w:szCs w:val="24"/>
        </w:rPr>
        <w:t xml:space="preserve">What it is not</w:t>
      </w:r>
    </w:p>
    <w:p>
      <w:pPr>
        <w:spacing w:after="220" w:before="0" w:line="312"/>
        <w:jc w:val="both"/>
      </w:pPr>
      <w:r>
        <w:rPr>
          <w:rFonts w:ascii="Georgia" w:cs="Georgia" w:eastAsia="Georgia" w:hAnsi="Georgia"/>
          <w:color w:val="2C2C2C"/>
          <w:sz w:val="22"/>
          <w:szCs w:val="22"/>
        </w:rPr>
        <w:t xml:space="preserve">Capitalism is noisy and unequal. Some people get rich. Some firms die. Towns that bet on one industry lose. The English mills Marx walked through were real: long hours, child labor, soot, slums. The system did not arrive as a charity. It arrived as a better option than the cottage and the lord, and then it took generations of law, unions, and rising productivity to make the mill less brutal. Creative destruction is not a metaphor to the family whose plant closes.</w:t>
      </w:r>
    </w:p>
    <w:p>
      <w:pPr>
        <w:spacing w:after="220" w:before="0" w:line="312"/>
        <w:jc w:val="both"/>
      </w:pPr>
      <w:r>
        <w:rPr>
          <w:rFonts w:ascii="Georgia" w:cs="Georgia" w:eastAsia="Georgia" w:hAnsi="Georgia"/>
          <w:color w:val="2C2C2C"/>
          <w:sz w:val="22"/>
          <w:szCs w:val="22"/>
        </w:rPr>
        <w:t xml:space="preserve">Capitalism also does not abolish sin. Greedy men will try to rig the game. They will seek tariffs, licenses, bailouts, and “too big to fail.” That is not proof that property is theft. It is proof that power still likes to marry money. The reform is more competition and fewer favors, not a party that owns the mills.</w:t>
      </w:r>
    </w:p>
    <w:p>
      <w:pPr>
        <w:spacing w:after="220" w:before="0" w:line="312"/>
        <w:jc w:val="both"/>
      </w:pPr>
      <w:r>
        <w:rPr>
          <w:rFonts w:ascii="Georgia" w:cs="Georgia" w:eastAsia="Georgia" w:hAnsi="Georgia"/>
          <w:color w:val="2C2C2C"/>
          <w:sz w:val="22"/>
          <w:szCs w:val="22"/>
        </w:rPr>
        <w:t xml:space="preserve">What the record shows, once you leave the pamphlet and look at the last two centuries, is that the places that let people own, trade, and keep most of what they earn became the places where ordinary life lengthened and filled up — food, light, medicine, travel, a child who survives. The places that abolished the owner and put History or the Party in his chair produced lines, informants, and graves. Correlation is not the whole argument. It is not nothing either.</w:t>
      </w:r>
    </w:p>
    <w:p>
      <w:pPr>
        <w:keepLines/>
        <w:pBdr>
          <w:left w:val="single" w:color="8A6D3B" w:sz="18" w:space="12"/>
        </w:pBdr>
        <w:spacing w:after="200" w:before="120" w:line="312"/>
        <w:ind w:left="480" w:right="360"/>
        <w:jc w:val="left"/>
      </w:pPr>
      <w:r>
        <w:rPr>
          <w:rFonts w:ascii="Georgia" w:cs="Georgia" w:eastAsia="Georgia" w:hAnsi="Georgia"/>
          <w:i/>
          <w:iCs/>
          <w:color w:val="1B2A4A"/>
          <w:sz w:val="21"/>
          <w:szCs w:val="21"/>
        </w:rPr>
        <w:t xml:space="preserve">Smith was not designing a church or a coup. He was explaining why a habit of owning, trading, and keeping accounts makes a nation richer than a king’s treasure.</w:t>
      </w:r>
    </w:p>
    <w:p>
      <w:pPr>
        <w:pageBreakBefore/>
      </w:pPr>
      <w:r>
        <w:t xml:space="preserve"/>
      </w:r>
    </w:p>
    <w:p>
      <w:pPr>
        <w:pStyle w:val="Heading1"/>
        <w:keepNext/>
        <w:spacing w:after="160" w:before="80" w:line="312"/>
        <w:jc w:val="left"/>
      </w:pPr>
      <w:r>
        <w:rPr>
          <w:rFonts w:ascii="Arial" w:cs="Arial" w:eastAsia="Arial" w:hAnsi="Arial"/>
          <w:b/>
          <w:bCs/>
          <w:color w:val="1B2A4A"/>
          <w:sz w:val="36"/>
          <w:szCs w:val="36"/>
        </w:rPr>
        <w:t xml:space="preserve">The Choice in Front of Us</w:t>
      </w:r>
    </w:p>
    <w:p>
      <w:pPr>
        <w:pBdr>
          <w:bottom w:val="single" w:color="C4B49A" w:sz="6" w:space="1"/>
        </w:pBdr>
        <w:spacing w:after="160" w:before="60"/>
      </w:pPr>
      <w:r>
        <w:rPr>
          <w:rFonts w:ascii="Georgia" w:cs="Georgia" w:eastAsia="Georgia" w:hAnsi="Georgia"/>
          <w:color w:val="2C2C2C"/>
          <w:sz w:val="22"/>
          <w:szCs w:val="22"/>
        </w:rPr>
        <w:t xml:space="preserve"/>
      </w:r>
    </w:p>
    <w:p>
      <w:pPr>
        <w:spacing w:after="220" w:before="0" w:line="312"/>
        <w:jc w:val="both"/>
      </w:pPr>
      <w:r>
        <w:rPr>
          <w:rFonts w:ascii="Georgia" w:cs="Georgia" w:eastAsia="Georgia" w:hAnsi="Georgia"/>
          <w:color w:val="2C2C2C"/>
          <w:sz w:val="22"/>
          <w:szCs w:val="22"/>
        </w:rPr>
        <w:t xml:space="preserve">Set the three stories side by side.</w:t>
      </w:r>
    </w:p>
    <w:p>
      <w:pPr>
        <w:spacing w:after="220" w:before="0" w:line="312"/>
        <w:jc w:val="both"/>
      </w:pPr>
      <w:r>
        <w:rPr>
          <w:rFonts w:ascii="Georgia" w:cs="Georgia" w:eastAsia="Georgia" w:hAnsi="Georgia"/>
          <w:color w:val="2C2C2C"/>
          <w:sz w:val="22"/>
          <w:szCs w:val="22"/>
        </w:rPr>
        <w:t xml:space="preserve">Islam began with a man who said God had spoken, built a city-state, and left a law that claims the public square. Communism began with a man who said History had replaced God, that property was the wound, and that a class must take the state to heal the world. Capitalism did not begin as a church or a coup. It began as a habit of owning, trading, and keeping accounts, and a Scots professor who explained why that habit makes a nation richer than a king’s vault.</w:t>
      </w:r>
    </w:p>
    <w:p>
      <w:pPr>
        <w:spacing w:after="220" w:before="0" w:line="312"/>
        <w:jc w:val="both"/>
      </w:pPr>
      <w:r>
        <w:rPr>
          <w:rFonts w:ascii="Georgia" w:cs="Georgia" w:eastAsia="Georgia" w:hAnsi="Georgia"/>
          <w:color w:val="2C2C2C"/>
          <w:sz w:val="22"/>
          <w:szCs w:val="22"/>
        </w:rPr>
        <w:t xml:space="preserve">One system says the highest authority is revelation. One says the highest authority is the party that speaks for the class. One says the highest peaceful authority over your labor and your shop is you — bounded by the same law that binds your neighbor, and by the right he has to walk away.</w:t>
      </w:r>
    </w:p>
    <w:p>
      <w:pPr>
        <w:spacing w:after="80" w:before="0" w:line="312"/>
        <w:jc w:val="left"/>
      </w:pPr>
      <w:r>
        <w:rPr>
          <w:rFonts w:ascii="Georgia" w:cs="Georgia" w:eastAsia="Georgia" w:hAnsi="Georgia"/>
          <w:color w:val="2C2C2C"/>
          <w:sz w:val="22"/>
          <w:szCs w:val="22"/>
        </w:rPr>
        <w:t xml:space="preserve"/>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1800"/>
        <w:gridCol w:w="2520"/>
        <w:gridCol w:w="2520"/>
        <w:gridCol w:w="2520"/>
      </w:tblGrid>
      <w:tr>
        <w:trPr>
          <w:tblHeader/>
        </w:trPr>
        <w:tc>
          <w:tcPr>
            <w:tcW w:type="dxa" w:w="1800"/>
            <w:tcBorders>
              <w:top w:val="single" w:color="C4B49A" w:sz="4"/>
              <w:left w:val="single" w:color="C4B49A" w:sz="4"/>
              <w:bottom w:val="single" w:color="C4B49A" w:sz="4"/>
              <w:right w:val="single" w:color="C4B49A" w:sz="4"/>
            </w:tcBorders>
            <w:shd w:fill="1B2A4A" w:val="clear"/>
            <w:tcMar>
              <w:top w:type="dxa" w:w="80"/>
              <w:left w:type="dxa" w:w="80"/>
              <w:bottom w:type="dxa" w:w="80"/>
              <w:right w:type="dxa" w:w="80"/>
            </w:tcMar>
          </w:tcPr>
          <w:p>
            <w:r>
              <w:rPr>
                <w:rFonts w:ascii="Arial" w:cs="Arial" w:eastAsia="Arial" w:hAnsi="Arial"/>
                <w:b/>
                <w:bCs/>
                <w:color w:val="FFFFFF"/>
                <w:sz w:val="16"/>
                <w:szCs w:val="16"/>
              </w:rPr>
              <w:t xml:space="preserve"/>
            </w:r>
          </w:p>
        </w:tc>
        <w:tc>
          <w:tcPr>
            <w:tcW w:type="dxa" w:w="2520"/>
            <w:tcBorders>
              <w:top w:val="single" w:color="C4B49A" w:sz="4"/>
              <w:left w:val="single" w:color="C4B49A" w:sz="4"/>
              <w:bottom w:val="single" w:color="C4B49A" w:sz="4"/>
              <w:right w:val="single" w:color="C4B49A" w:sz="4"/>
            </w:tcBorders>
            <w:shd w:fill="1B2A4A" w:val="clear"/>
            <w:tcMar>
              <w:top w:type="dxa" w:w="80"/>
              <w:left w:type="dxa" w:w="80"/>
              <w:bottom w:type="dxa" w:w="80"/>
              <w:right w:type="dxa" w:w="80"/>
            </w:tcMar>
          </w:tcPr>
          <w:p>
            <w:r>
              <w:rPr>
                <w:rFonts w:ascii="Arial" w:cs="Arial" w:eastAsia="Arial" w:hAnsi="Arial"/>
                <w:b/>
                <w:bCs/>
                <w:color w:val="FFFFFF"/>
                <w:sz w:val="16"/>
                <w:szCs w:val="16"/>
              </w:rPr>
              <w:t xml:space="preserve">Islam</w:t>
            </w:r>
          </w:p>
        </w:tc>
        <w:tc>
          <w:tcPr>
            <w:tcW w:type="dxa" w:w="2520"/>
            <w:tcBorders>
              <w:top w:val="single" w:color="C4B49A" w:sz="4"/>
              <w:left w:val="single" w:color="C4B49A" w:sz="4"/>
              <w:bottom w:val="single" w:color="C4B49A" w:sz="4"/>
              <w:right w:val="single" w:color="C4B49A" w:sz="4"/>
            </w:tcBorders>
            <w:shd w:fill="1B2A4A" w:val="clear"/>
            <w:tcMar>
              <w:top w:type="dxa" w:w="80"/>
              <w:left w:type="dxa" w:w="80"/>
              <w:bottom w:type="dxa" w:w="80"/>
              <w:right w:type="dxa" w:w="80"/>
            </w:tcMar>
          </w:tcPr>
          <w:p>
            <w:r>
              <w:rPr>
                <w:rFonts w:ascii="Arial" w:cs="Arial" w:eastAsia="Arial" w:hAnsi="Arial"/>
                <w:b/>
                <w:bCs/>
                <w:color w:val="FFFFFF"/>
                <w:sz w:val="16"/>
                <w:szCs w:val="16"/>
              </w:rPr>
              <w:t xml:space="preserve">Communism</w:t>
            </w:r>
          </w:p>
        </w:tc>
        <w:tc>
          <w:tcPr>
            <w:tcW w:type="dxa" w:w="2520"/>
            <w:tcBorders>
              <w:top w:val="single" w:color="C4B49A" w:sz="4"/>
              <w:left w:val="single" w:color="C4B49A" w:sz="4"/>
              <w:bottom w:val="single" w:color="C4B49A" w:sz="4"/>
              <w:right w:val="single" w:color="C4B49A" w:sz="4"/>
            </w:tcBorders>
            <w:shd w:fill="1B2A4A" w:val="clear"/>
            <w:tcMar>
              <w:top w:type="dxa" w:w="80"/>
              <w:left w:type="dxa" w:w="80"/>
              <w:bottom w:type="dxa" w:w="80"/>
              <w:right w:type="dxa" w:w="80"/>
            </w:tcMar>
          </w:tcPr>
          <w:p>
            <w:r>
              <w:rPr>
                <w:rFonts w:ascii="Arial" w:cs="Arial" w:eastAsia="Arial" w:hAnsi="Arial"/>
                <w:b/>
                <w:bCs/>
                <w:color w:val="FFFFFF"/>
                <w:sz w:val="16"/>
                <w:szCs w:val="16"/>
              </w:rPr>
              <w:t xml:space="preserve">Capitalism</w:t>
            </w:r>
          </w:p>
        </w:tc>
      </w:tr>
      <w:tr>
        <w:tc>
          <w:tcPr>
            <w:tcW w:type="dxa" w:w="1800"/>
            <w:tcBorders>
              <w:top w:val="single" w:color="C4B49A" w:sz="4"/>
              <w:left w:val="single" w:color="C4B49A" w:sz="4"/>
              <w:bottom w:val="single" w:color="C4B49A" w:sz="4"/>
              <w:right w:val="single" w:color="C4B49A" w:sz="4"/>
            </w:tcBorders>
            <w:shd w:fill="E8EBF0" w:val="clear"/>
            <w:tcMar>
              <w:top w:type="dxa" w:w="70"/>
              <w:left w:type="dxa" w:w="80"/>
              <w:bottom w:type="dxa" w:w="70"/>
              <w:right w:type="dxa" w:w="80"/>
            </w:tcMar>
            <w:vAlign w:val="top"/>
          </w:tcPr>
          <w:p>
            <w:r>
              <w:rPr>
                <w:rFonts w:ascii="Arial" w:cs="Arial" w:eastAsia="Arial" w:hAnsi="Arial"/>
                <w:b/>
                <w:bCs/>
                <w:color w:val="1B2A4A"/>
                <w:sz w:val="16"/>
                <w:szCs w:val="16"/>
              </w:rPr>
              <w:t xml:space="preserve">Began as</w:t>
            </w:r>
          </w:p>
        </w:tc>
        <w:tc>
          <w:tcPr>
            <w:tcW w:type="dxa" w:w="2520"/>
            <w:tcBorders>
              <w:top w:val="single" w:color="C4B49A" w:sz="4"/>
              <w:left w:val="single" w:color="C4B49A" w:sz="4"/>
              <w:bottom w:val="single" w:color="C4B49A" w:sz="4"/>
              <w:right w:val="single" w:color="C4B49A" w:sz="4"/>
            </w:tcBorders>
            <w:shd w:fill="E8EBF0" w:val="clear"/>
            <w:tcMar>
              <w:top w:type="dxa" w:w="70"/>
              <w:left w:type="dxa" w:w="80"/>
              <w:bottom w:type="dxa" w:w="70"/>
              <w:right w:type="dxa" w:w="80"/>
            </w:tcMar>
            <w:vAlign w:val="top"/>
          </w:tcPr>
          <w:p>
            <w:r>
              <w:rPr>
                <w:rFonts w:ascii="Arial" w:cs="Arial" w:eastAsia="Arial" w:hAnsi="Arial"/>
                <w:b w:val="false"/>
                <w:bCs w:val="false"/>
                <w:color w:val="2C2C2C"/>
                <w:sz w:val="16"/>
                <w:szCs w:val="16"/>
              </w:rPr>
              <w:t xml:space="preserve">A revelation, then a city-state, then an empire</w:t>
            </w:r>
          </w:p>
        </w:tc>
        <w:tc>
          <w:tcPr>
            <w:tcW w:type="dxa" w:w="2520"/>
            <w:tcBorders>
              <w:top w:val="single" w:color="C4B49A" w:sz="4"/>
              <w:left w:val="single" w:color="C4B49A" w:sz="4"/>
              <w:bottom w:val="single" w:color="C4B49A" w:sz="4"/>
              <w:right w:val="single" w:color="C4B49A" w:sz="4"/>
            </w:tcBorders>
            <w:shd w:fill="E8EBF0" w:val="clear"/>
            <w:tcMar>
              <w:top w:type="dxa" w:w="70"/>
              <w:left w:type="dxa" w:w="80"/>
              <w:bottom w:type="dxa" w:w="70"/>
              <w:right w:type="dxa" w:w="80"/>
            </w:tcMar>
            <w:vAlign w:val="top"/>
          </w:tcPr>
          <w:p>
            <w:r>
              <w:rPr>
                <w:rFonts w:ascii="Arial" w:cs="Arial" w:eastAsia="Arial" w:hAnsi="Arial"/>
                <w:b w:val="false"/>
                <w:bCs w:val="false"/>
                <w:color w:val="2C2C2C"/>
                <w:sz w:val="16"/>
                <w:szCs w:val="16"/>
              </w:rPr>
              <w:t xml:space="preserve">A theory of history, then a party, then a police state</w:t>
            </w:r>
          </w:p>
        </w:tc>
        <w:tc>
          <w:tcPr>
            <w:tcW w:type="dxa" w:w="2520"/>
            <w:tcBorders>
              <w:top w:val="single" w:color="C4B49A" w:sz="4"/>
              <w:left w:val="single" w:color="C4B49A" w:sz="4"/>
              <w:bottom w:val="single" w:color="C4B49A" w:sz="4"/>
              <w:right w:val="single" w:color="C4B49A" w:sz="4"/>
            </w:tcBorders>
            <w:shd w:fill="E8EBF0" w:val="clear"/>
            <w:tcMar>
              <w:top w:type="dxa" w:w="70"/>
              <w:left w:type="dxa" w:w="80"/>
              <w:bottom w:type="dxa" w:w="70"/>
              <w:right w:type="dxa" w:w="80"/>
            </w:tcMar>
            <w:vAlign w:val="top"/>
          </w:tcPr>
          <w:p>
            <w:r>
              <w:rPr>
                <w:rFonts w:ascii="Arial" w:cs="Arial" w:eastAsia="Arial" w:hAnsi="Arial"/>
                <w:b w:val="false"/>
                <w:bCs w:val="false"/>
                <w:color w:val="2C2C2C"/>
                <w:sz w:val="16"/>
                <w:szCs w:val="16"/>
              </w:rPr>
              <w:t xml:space="preserve">A habit of owning and trading, later explained by a philosopher</w:t>
            </w:r>
          </w:p>
        </w:tc>
      </w:tr>
      <w:tr>
        <w:tc>
          <w:tcPr>
            <w:tcW w:type="dxa" w:w="1800"/>
            <w:tcBorders>
              <w:top w:val="single" w:color="C4B49A" w:sz="4"/>
              <w:left w:val="single" w:color="C4B49A" w:sz="4"/>
              <w:bottom w:val="single" w:color="C4B49A" w:sz="4"/>
              <w:right w:val="single" w:color="C4B49A" w:sz="4"/>
            </w:tcBorders>
            <w:shd w:fill="E8EBF0" w:val="clear"/>
            <w:tcMar>
              <w:top w:type="dxa" w:w="70"/>
              <w:left w:type="dxa" w:w="80"/>
              <w:bottom w:type="dxa" w:w="70"/>
              <w:right w:type="dxa" w:w="80"/>
            </w:tcMar>
            <w:vAlign w:val="top"/>
          </w:tcPr>
          <w:p>
            <w:r>
              <w:rPr>
                <w:rFonts w:ascii="Arial" w:cs="Arial" w:eastAsia="Arial" w:hAnsi="Arial"/>
                <w:b/>
                <w:bCs/>
                <w:color w:val="1B2A4A"/>
                <w:sz w:val="16"/>
                <w:szCs w:val="16"/>
              </w:rPr>
              <w:t xml:space="preserve">Highest claim</w:t>
            </w:r>
          </w:p>
        </w:tc>
        <w:tc>
          <w:tcPr>
            <w:tcW w:type="dxa" w:w="2520"/>
            <w:tcBorders>
              <w:top w:val="single" w:color="C4B49A" w:sz="4"/>
              <w:left w:val="single" w:color="C4B49A" w:sz="4"/>
              <w:bottom w:val="single" w:color="C4B49A" w:sz="4"/>
              <w:right w:val="single" w:color="C4B49A" w:sz="4"/>
            </w:tcBorders>
            <w:shd w:fill="FFFFFF" w:val="clear"/>
            <w:tcMar>
              <w:top w:type="dxa" w:w="70"/>
              <w:left w:type="dxa" w:w="80"/>
              <w:bottom w:type="dxa" w:w="70"/>
              <w:right w:type="dxa" w:w="80"/>
            </w:tcMar>
            <w:vAlign w:val="top"/>
          </w:tcPr>
          <w:p>
            <w:r>
              <w:rPr>
                <w:rFonts w:ascii="Arial" w:cs="Arial" w:eastAsia="Arial" w:hAnsi="Arial"/>
                <w:b w:val="false"/>
                <w:bCs w:val="false"/>
                <w:color w:val="2C2C2C"/>
                <w:sz w:val="16"/>
                <w:szCs w:val="16"/>
              </w:rPr>
              <w:t xml:space="preserve">God’s law over the public square</w:t>
            </w:r>
          </w:p>
        </w:tc>
        <w:tc>
          <w:tcPr>
            <w:tcW w:type="dxa" w:w="2520"/>
            <w:tcBorders>
              <w:top w:val="single" w:color="C4B49A" w:sz="4"/>
              <w:left w:val="single" w:color="C4B49A" w:sz="4"/>
              <w:bottom w:val="single" w:color="C4B49A" w:sz="4"/>
              <w:right w:val="single" w:color="C4B49A" w:sz="4"/>
            </w:tcBorders>
            <w:shd w:fill="FFFFFF" w:val="clear"/>
            <w:tcMar>
              <w:top w:type="dxa" w:w="70"/>
              <w:left w:type="dxa" w:w="80"/>
              <w:bottom w:type="dxa" w:w="70"/>
              <w:right w:type="dxa" w:w="80"/>
            </w:tcMar>
            <w:vAlign w:val="top"/>
          </w:tcPr>
          <w:p>
            <w:r>
              <w:rPr>
                <w:rFonts w:ascii="Arial" w:cs="Arial" w:eastAsia="Arial" w:hAnsi="Arial"/>
                <w:b w:val="false"/>
                <w:bCs w:val="false"/>
                <w:color w:val="2C2C2C"/>
                <w:sz w:val="16"/>
                <w:szCs w:val="16"/>
              </w:rPr>
              <w:t xml:space="preserve">The party that speaks for the class</w:t>
            </w:r>
          </w:p>
        </w:tc>
        <w:tc>
          <w:tcPr>
            <w:tcW w:type="dxa" w:w="2520"/>
            <w:tcBorders>
              <w:top w:val="single" w:color="C4B49A" w:sz="4"/>
              <w:left w:val="single" w:color="C4B49A" w:sz="4"/>
              <w:bottom w:val="single" w:color="C4B49A" w:sz="4"/>
              <w:right w:val="single" w:color="C4B49A" w:sz="4"/>
            </w:tcBorders>
            <w:shd w:fill="FFFFFF" w:val="clear"/>
            <w:tcMar>
              <w:top w:type="dxa" w:w="70"/>
              <w:left w:type="dxa" w:w="80"/>
              <w:bottom w:type="dxa" w:w="70"/>
              <w:right w:type="dxa" w:w="80"/>
            </w:tcMar>
            <w:vAlign w:val="top"/>
          </w:tcPr>
          <w:p>
            <w:r>
              <w:rPr>
                <w:rFonts w:ascii="Arial" w:cs="Arial" w:eastAsia="Arial" w:hAnsi="Arial"/>
                <w:b w:val="false"/>
                <w:bCs w:val="false"/>
                <w:color w:val="2C2C2C"/>
                <w:sz w:val="16"/>
                <w:szCs w:val="16"/>
              </w:rPr>
              <w:t xml:space="preserve">The person who owns his labor and may say no</w:t>
            </w:r>
          </w:p>
        </w:tc>
      </w:tr>
      <w:tr>
        <w:tc>
          <w:tcPr>
            <w:tcW w:type="dxa" w:w="1800"/>
            <w:tcBorders>
              <w:top w:val="single" w:color="C4B49A" w:sz="4"/>
              <w:left w:val="single" w:color="C4B49A" w:sz="4"/>
              <w:bottom w:val="single" w:color="C4B49A" w:sz="4"/>
              <w:right w:val="single" w:color="C4B49A" w:sz="4"/>
            </w:tcBorders>
            <w:shd w:fill="E8EBF0" w:val="clear"/>
            <w:tcMar>
              <w:top w:type="dxa" w:w="70"/>
              <w:left w:type="dxa" w:w="80"/>
              <w:bottom w:type="dxa" w:w="70"/>
              <w:right w:type="dxa" w:w="80"/>
            </w:tcMar>
            <w:vAlign w:val="top"/>
          </w:tcPr>
          <w:p>
            <w:r>
              <w:rPr>
                <w:rFonts w:ascii="Arial" w:cs="Arial" w:eastAsia="Arial" w:hAnsi="Arial"/>
                <w:b/>
                <w:bCs/>
                <w:color w:val="1B2A4A"/>
                <w:sz w:val="16"/>
                <w:szCs w:val="16"/>
              </w:rPr>
              <w:t xml:space="preserve">Founder</w:t>
            </w:r>
          </w:p>
        </w:tc>
        <w:tc>
          <w:tcPr>
            <w:tcW w:type="dxa" w:w="2520"/>
            <w:tcBorders>
              <w:top w:val="single" w:color="C4B49A" w:sz="4"/>
              <w:left w:val="single" w:color="C4B49A" w:sz="4"/>
              <w:bottom w:val="single" w:color="C4B49A" w:sz="4"/>
              <w:right w:val="single" w:color="C4B49A" w:sz="4"/>
            </w:tcBorders>
            <w:shd w:fill="E8EBF0" w:val="clear"/>
            <w:tcMar>
              <w:top w:type="dxa" w:w="70"/>
              <w:left w:type="dxa" w:w="80"/>
              <w:bottom w:type="dxa" w:w="70"/>
              <w:right w:type="dxa" w:w="80"/>
            </w:tcMar>
            <w:vAlign w:val="top"/>
          </w:tcPr>
          <w:p>
            <w:r>
              <w:rPr>
                <w:rFonts w:ascii="Arial" w:cs="Arial" w:eastAsia="Arial" w:hAnsi="Arial"/>
                <w:b w:val="false"/>
                <w:bCs w:val="false"/>
                <w:color w:val="2C2C2C"/>
                <w:sz w:val="16"/>
                <w:szCs w:val="16"/>
              </w:rPr>
              <w:t xml:space="preserve">Muhammad of Mecca and Medina (c. 570–632)</w:t>
            </w:r>
          </w:p>
        </w:tc>
        <w:tc>
          <w:tcPr>
            <w:tcW w:type="dxa" w:w="2520"/>
            <w:tcBorders>
              <w:top w:val="single" w:color="C4B49A" w:sz="4"/>
              <w:left w:val="single" w:color="C4B49A" w:sz="4"/>
              <w:bottom w:val="single" w:color="C4B49A" w:sz="4"/>
              <w:right w:val="single" w:color="C4B49A" w:sz="4"/>
            </w:tcBorders>
            <w:shd w:fill="E8EBF0" w:val="clear"/>
            <w:tcMar>
              <w:top w:type="dxa" w:w="70"/>
              <w:left w:type="dxa" w:w="80"/>
              <w:bottom w:type="dxa" w:w="70"/>
              <w:right w:type="dxa" w:w="80"/>
            </w:tcMar>
            <w:vAlign w:val="top"/>
          </w:tcPr>
          <w:p>
            <w:r>
              <w:rPr>
                <w:rFonts w:ascii="Arial" w:cs="Arial" w:eastAsia="Arial" w:hAnsi="Arial"/>
                <w:b w:val="false"/>
                <w:bCs w:val="false"/>
                <w:color w:val="2C2C2C"/>
                <w:sz w:val="16"/>
                <w:szCs w:val="16"/>
              </w:rPr>
              <w:t xml:space="preserve">Karl Marx of Trier and London (1818–1883)</w:t>
            </w:r>
          </w:p>
        </w:tc>
        <w:tc>
          <w:tcPr>
            <w:tcW w:type="dxa" w:w="2520"/>
            <w:tcBorders>
              <w:top w:val="single" w:color="C4B49A" w:sz="4"/>
              <w:left w:val="single" w:color="C4B49A" w:sz="4"/>
              <w:bottom w:val="single" w:color="C4B49A" w:sz="4"/>
              <w:right w:val="single" w:color="C4B49A" w:sz="4"/>
            </w:tcBorders>
            <w:shd w:fill="E8EBF0" w:val="clear"/>
            <w:tcMar>
              <w:top w:type="dxa" w:w="70"/>
              <w:left w:type="dxa" w:w="80"/>
              <w:bottom w:type="dxa" w:w="70"/>
              <w:right w:type="dxa" w:w="80"/>
            </w:tcMar>
            <w:vAlign w:val="top"/>
          </w:tcPr>
          <w:p>
            <w:r>
              <w:rPr>
                <w:rFonts w:ascii="Arial" w:cs="Arial" w:eastAsia="Arial" w:hAnsi="Arial"/>
                <w:b w:val="false"/>
                <w:bCs w:val="false"/>
                <w:color w:val="2C2C2C"/>
                <w:sz w:val="16"/>
                <w:szCs w:val="16"/>
              </w:rPr>
              <w:t xml:space="preserve">No single founder; Adam Smith (1723–1790) explained it</w:t>
            </w:r>
          </w:p>
        </w:tc>
      </w:tr>
      <w:tr>
        <w:tc>
          <w:tcPr>
            <w:tcW w:type="dxa" w:w="1800"/>
            <w:tcBorders>
              <w:top w:val="single" w:color="C4B49A" w:sz="4"/>
              <w:left w:val="single" w:color="C4B49A" w:sz="4"/>
              <w:bottom w:val="single" w:color="C4B49A" w:sz="4"/>
              <w:right w:val="single" w:color="C4B49A" w:sz="4"/>
            </w:tcBorders>
            <w:shd w:fill="E8EBF0" w:val="clear"/>
            <w:tcMar>
              <w:top w:type="dxa" w:w="70"/>
              <w:left w:type="dxa" w:w="80"/>
              <w:bottom w:type="dxa" w:w="70"/>
              <w:right w:type="dxa" w:w="80"/>
            </w:tcMar>
            <w:vAlign w:val="top"/>
          </w:tcPr>
          <w:p>
            <w:r>
              <w:rPr>
                <w:rFonts w:ascii="Arial" w:cs="Arial" w:eastAsia="Arial" w:hAnsi="Arial"/>
                <w:b/>
                <w:bCs/>
                <w:color w:val="1B2A4A"/>
                <w:sz w:val="16"/>
                <w:szCs w:val="16"/>
              </w:rPr>
              <w:t xml:space="preserve">Core move</w:t>
            </w:r>
          </w:p>
        </w:tc>
        <w:tc>
          <w:tcPr>
            <w:tcW w:type="dxa" w:w="2520"/>
            <w:tcBorders>
              <w:top w:val="single" w:color="C4B49A" w:sz="4"/>
              <w:left w:val="single" w:color="C4B49A" w:sz="4"/>
              <w:bottom w:val="single" w:color="C4B49A" w:sz="4"/>
              <w:right w:val="single" w:color="C4B49A" w:sz="4"/>
            </w:tcBorders>
            <w:shd w:fill="FFFFFF" w:val="clear"/>
            <w:tcMar>
              <w:top w:type="dxa" w:w="70"/>
              <w:left w:type="dxa" w:w="80"/>
              <w:bottom w:type="dxa" w:w="70"/>
              <w:right w:type="dxa" w:w="80"/>
            </w:tcMar>
            <w:vAlign w:val="top"/>
          </w:tcPr>
          <w:p>
            <w:r>
              <w:rPr>
                <w:rFonts w:ascii="Arial" w:cs="Arial" w:eastAsia="Arial" w:hAnsi="Arial"/>
                <w:b w:val="false"/>
                <w:bCs w:val="false"/>
                <w:color w:val="2C2C2C"/>
                <w:sz w:val="16"/>
                <w:szCs w:val="16"/>
              </w:rPr>
              <w:t xml:space="preserve">Submit to one God and, in the political reading, to Sharia</w:t>
            </w:r>
          </w:p>
        </w:tc>
        <w:tc>
          <w:tcPr>
            <w:tcW w:type="dxa" w:w="2520"/>
            <w:tcBorders>
              <w:top w:val="single" w:color="C4B49A" w:sz="4"/>
              <w:left w:val="single" w:color="C4B49A" w:sz="4"/>
              <w:bottom w:val="single" w:color="C4B49A" w:sz="4"/>
              <w:right w:val="single" w:color="C4B49A" w:sz="4"/>
            </w:tcBorders>
            <w:shd w:fill="FFFFFF" w:val="clear"/>
            <w:tcMar>
              <w:top w:type="dxa" w:w="70"/>
              <w:left w:type="dxa" w:w="80"/>
              <w:bottom w:type="dxa" w:w="70"/>
              <w:right w:type="dxa" w:w="80"/>
            </w:tcMar>
            <w:vAlign w:val="top"/>
          </w:tcPr>
          <w:p>
            <w:r>
              <w:rPr>
                <w:rFonts w:ascii="Arial" w:cs="Arial" w:eastAsia="Arial" w:hAnsi="Arial"/>
                <w:b w:val="false"/>
                <w:bCs w:val="false"/>
                <w:color w:val="2C2C2C"/>
                <w:sz w:val="16"/>
                <w:szCs w:val="16"/>
              </w:rPr>
              <w:t xml:space="preserve">Abolish bourgeois private property; seize the state</w:t>
            </w:r>
          </w:p>
        </w:tc>
        <w:tc>
          <w:tcPr>
            <w:tcW w:type="dxa" w:w="2520"/>
            <w:tcBorders>
              <w:top w:val="single" w:color="C4B49A" w:sz="4"/>
              <w:left w:val="single" w:color="C4B49A" w:sz="4"/>
              <w:bottom w:val="single" w:color="C4B49A" w:sz="4"/>
              <w:right w:val="single" w:color="C4B49A" w:sz="4"/>
            </w:tcBorders>
            <w:shd w:fill="FFFFFF" w:val="clear"/>
            <w:tcMar>
              <w:top w:type="dxa" w:w="70"/>
              <w:left w:type="dxa" w:w="80"/>
              <w:bottom w:type="dxa" w:w="70"/>
              <w:right w:type="dxa" w:w="80"/>
            </w:tcMar>
            <w:vAlign w:val="top"/>
          </w:tcPr>
          <w:p>
            <w:r>
              <w:rPr>
                <w:rFonts w:ascii="Arial" w:cs="Arial" w:eastAsia="Arial" w:hAnsi="Arial"/>
                <w:b w:val="false"/>
                <w:bCs w:val="false"/>
                <w:color w:val="2C2C2C"/>
                <w:sz w:val="16"/>
                <w:szCs w:val="16"/>
              </w:rPr>
              <w:t xml:space="preserve">Protect property, contracts, and voluntary exchange</w:t>
            </w:r>
          </w:p>
        </w:tc>
      </w:tr>
      <w:tr>
        <w:tc>
          <w:tcPr>
            <w:tcW w:type="dxa" w:w="1800"/>
            <w:tcBorders>
              <w:top w:val="single" w:color="C4B49A" w:sz="4"/>
              <w:left w:val="single" w:color="C4B49A" w:sz="4"/>
              <w:bottom w:val="single" w:color="C4B49A" w:sz="4"/>
              <w:right w:val="single" w:color="C4B49A" w:sz="4"/>
            </w:tcBorders>
            <w:shd w:fill="E8EBF0" w:val="clear"/>
            <w:tcMar>
              <w:top w:type="dxa" w:w="70"/>
              <w:left w:type="dxa" w:w="80"/>
              <w:bottom w:type="dxa" w:w="70"/>
              <w:right w:type="dxa" w:w="80"/>
            </w:tcMar>
            <w:vAlign w:val="top"/>
          </w:tcPr>
          <w:p>
            <w:r>
              <w:rPr>
                <w:rFonts w:ascii="Arial" w:cs="Arial" w:eastAsia="Arial" w:hAnsi="Arial"/>
                <w:b/>
                <w:bCs/>
                <w:color w:val="1B2A4A"/>
                <w:sz w:val="16"/>
                <w:szCs w:val="16"/>
              </w:rPr>
              <w:t xml:space="preserve">When it gets a state</w:t>
            </w:r>
          </w:p>
        </w:tc>
        <w:tc>
          <w:tcPr>
            <w:tcW w:type="dxa" w:w="2520"/>
            <w:tcBorders>
              <w:top w:val="single" w:color="C4B49A" w:sz="4"/>
              <w:left w:val="single" w:color="C4B49A" w:sz="4"/>
              <w:bottom w:val="single" w:color="C4B49A" w:sz="4"/>
              <w:right w:val="single" w:color="C4B49A" w:sz="4"/>
            </w:tcBorders>
            <w:shd w:fill="E8EBF0" w:val="clear"/>
            <w:tcMar>
              <w:top w:type="dxa" w:w="70"/>
              <w:left w:type="dxa" w:w="80"/>
              <w:bottom w:type="dxa" w:w="70"/>
              <w:right w:type="dxa" w:w="80"/>
            </w:tcMar>
            <w:vAlign w:val="top"/>
          </w:tcPr>
          <w:p>
            <w:r>
              <w:rPr>
                <w:rFonts w:ascii="Arial" w:cs="Arial" w:eastAsia="Arial" w:hAnsi="Arial"/>
                <w:b w:val="false"/>
                <w:bCs w:val="false"/>
                <w:color w:val="2C2C2C"/>
                <w:sz w:val="16"/>
                <w:szCs w:val="16"/>
              </w:rPr>
              <w:t xml:space="preserve">Caliphate / Political Islam</w:t>
            </w:r>
          </w:p>
        </w:tc>
        <w:tc>
          <w:tcPr>
            <w:tcW w:type="dxa" w:w="2520"/>
            <w:tcBorders>
              <w:top w:val="single" w:color="C4B49A" w:sz="4"/>
              <w:left w:val="single" w:color="C4B49A" w:sz="4"/>
              <w:bottom w:val="single" w:color="C4B49A" w:sz="4"/>
              <w:right w:val="single" w:color="C4B49A" w:sz="4"/>
            </w:tcBorders>
            <w:shd w:fill="E8EBF0" w:val="clear"/>
            <w:tcMar>
              <w:top w:type="dxa" w:w="70"/>
              <w:left w:type="dxa" w:w="80"/>
              <w:bottom w:type="dxa" w:w="70"/>
              <w:right w:type="dxa" w:w="80"/>
            </w:tcMar>
            <w:vAlign w:val="top"/>
          </w:tcPr>
          <w:p>
            <w:r>
              <w:rPr>
                <w:rFonts w:ascii="Arial" w:cs="Arial" w:eastAsia="Arial" w:hAnsi="Arial"/>
                <w:b w:val="false"/>
                <w:bCs w:val="false"/>
                <w:color w:val="2C2C2C"/>
                <w:sz w:val="16"/>
                <w:szCs w:val="16"/>
              </w:rPr>
              <w:t xml:space="preserve">One-party rule, secret police, planned economy</w:t>
            </w:r>
          </w:p>
        </w:tc>
        <w:tc>
          <w:tcPr>
            <w:tcW w:type="dxa" w:w="2520"/>
            <w:tcBorders>
              <w:top w:val="single" w:color="C4B49A" w:sz="4"/>
              <w:left w:val="single" w:color="C4B49A" w:sz="4"/>
              <w:bottom w:val="single" w:color="C4B49A" w:sz="4"/>
              <w:right w:val="single" w:color="C4B49A" w:sz="4"/>
            </w:tcBorders>
            <w:shd w:fill="E8EBF0" w:val="clear"/>
            <w:tcMar>
              <w:top w:type="dxa" w:w="70"/>
              <w:left w:type="dxa" w:w="80"/>
              <w:bottom w:type="dxa" w:w="70"/>
              <w:right w:type="dxa" w:w="80"/>
            </w:tcMar>
            <w:vAlign w:val="top"/>
          </w:tcPr>
          <w:p>
            <w:r>
              <w:rPr>
                <w:rFonts w:ascii="Arial" w:cs="Arial" w:eastAsia="Arial" w:hAnsi="Arial"/>
                <w:b w:val="false"/>
                <w:bCs w:val="false"/>
                <w:color w:val="2C2C2C"/>
                <w:sz w:val="16"/>
                <w:szCs w:val="16"/>
              </w:rPr>
              <w:t xml:space="preserve">Limited government, markets, and the right to walk away</w:t>
            </w:r>
          </w:p>
        </w:tc>
      </w:tr>
    </w:tbl>
    <w:p>
      <w:pPr>
        <w:spacing w:after="160" w:before="0" w:line="312"/>
        <w:jc w:val="left"/>
      </w:pPr>
      <w:r>
        <w:rPr>
          <w:rFonts w:ascii="Georgia" w:cs="Georgia" w:eastAsia="Georgia" w:hAnsi="Georgia"/>
          <w:color w:val="2C2C2C"/>
          <w:sz w:val="22"/>
          <w:szCs w:val="22"/>
        </w:rPr>
        <w:t xml:space="preserve"/>
      </w:r>
    </w:p>
    <w:p>
      <w:pPr>
        <w:spacing w:after="220" w:before="0" w:line="312"/>
        <w:jc w:val="both"/>
      </w:pPr>
      <w:r>
        <w:rPr>
          <w:rFonts w:ascii="Georgia" w:cs="Georgia" w:eastAsia="Georgia" w:hAnsi="Georgia"/>
          <w:color w:val="2C2C2C"/>
          <w:sz w:val="22"/>
          <w:szCs w:val="22"/>
        </w:rPr>
        <w:t xml:space="preserve">That last claim is why this country exists in the form listeners still recognize. It is also why the other two systems, when they get serious, cannot leave a free market and a free chapel alone. They are not merely different opinions about tax rates. They are different answers to the question: who is in charge of a man’s work, his family, and his future?</w:t>
      </w:r>
    </w:p>
    <w:p>
      <w:pPr>
        <w:spacing w:after="220" w:before="0" w:line="312"/>
        <w:jc w:val="both"/>
      </w:pPr>
      <w:r>
        <w:rPr>
          <w:rFonts w:ascii="Georgia" w:cs="Georgia" w:eastAsia="Georgia" w:hAnsi="Georgia"/>
          <w:color w:val="2C2C2C"/>
          <w:sz w:val="22"/>
          <w:szCs w:val="22"/>
        </w:rPr>
        <w:t xml:space="preserve">On election day, Americans are not choosing a flavor of slogan. They are deciding which of those answers will have the force of law. That is why these three lives still matter in Nevada, and why the broadcast could not hold every page you have just read.</w:t>
      </w:r>
    </w:p>
    <w:p>
      <w:pPr>
        <w:pBdr>
          <w:bottom w:val="single" w:color="C4B49A" w:sz="6" w:space="1"/>
        </w:pBdr>
        <w:spacing w:after="160" w:before="60"/>
      </w:pPr>
      <w:r>
        <w:rPr>
          <w:rFonts w:ascii="Georgia" w:cs="Georgia" w:eastAsia="Georgia" w:hAnsi="Georgia"/>
          <w:color w:val="2C2C2C"/>
          <w:sz w:val="22"/>
          <w:szCs w:val="22"/>
        </w:rPr>
        <w:t xml:space="preserve"/>
      </w:r>
    </w:p>
    <w:p>
      <w:pPr>
        <w:spacing w:after="0" w:before="0" w:line="312"/>
        <w:jc w:val="left"/>
      </w:pPr>
      <w:r>
        <w:rPr>
          <w:rFonts w:ascii="Arial" w:cs="Arial" w:eastAsia="Arial" w:hAnsi="Arial"/>
          <w:i/>
          <w:iCs/>
          <w:color w:val="5C5C5C"/>
          <w:sz w:val="17"/>
          <w:szCs w:val="17"/>
        </w:rPr>
        <w:t xml:space="preserve">The Nevada Conservative — Sherman Ray, host. thenevadaconservative.com  ·  © 2026 SRay Media Group LLC. Share with attribution. Primary sources remain the authority on each tradition.</w:t>
      </w:r>
    </w:p>
    <w:sectPr>
      <w:headerReference w:type="default" r:id="rId7"/>
      <w:footerReference w:type="default" r:id="rId8"/>
      <w:pgSz w:w="12240" w:h="15840" w:orient="portrait"/>
      <w:pgMar w:top="1080" w:right="1080" w:bottom="1080" w:left="1080" w:header="708" w:footer="708" w:gutter="0"/>
      <w:pgBorders>
        <w:top w:val="single" w:color="8A6D3B" w:sz="6" w:space="18"/>
        <w:left w:val="single" w:color="8A6D3B" w:sz="6" w:space="18"/>
        <w:bottom w:val="single" w:color="8A6D3B" w:sz="6" w:space="18"/>
        <w:right w:val="single" w:color="8A6D3B" w:sz="6" w:space="18"/>
      </w:pgBorders>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pBdr>
        <w:top w:val="single" w:color="8A6D3B" w:sz="8" w:space="8"/>
      </w:pBdr>
      <w:spacing w:before="80"/>
    </w:pPr>
    <w:r>
      <w:rPr>
        <w:rFonts w:ascii="Arial" w:cs="Arial" w:eastAsia="Arial" w:hAnsi="Arial"/>
        <w:color w:val="5C5C5C"/>
        <w:sz w:val="16"/>
        <w:szCs w:val="16"/>
      </w:rPr>
      <w:t xml:space="preserve">thenevadaconservative.com</w:t>
    </w:r>
    <w:r>
      <w:rPr>
        <w:rFonts w:ascii="Arial" w:cs="Arial" w:eastAsia="Arial" w:hAnsi="Arial"/>
        <w:color w:val="2C2C2C"/>
        <w:sz w:val="16"/>
        <w:szCs w:val="16"/>
      </w:rPr>
      <w:t xml:space="preserve">          </w:t>
    </w:r>
    <w:r>
      <w:rPr>
        <w:rFonts w:ascii="Arial" w:cs="Arial" w:eastAsia="Arial" w:hAnsi="Arial"/>
        <w:color w:val="5C5C5C"/>
        <w:sz w:val="16"/>
        <w:szCs w:val="16"/>
      </w:rPr>
      <w:t xml:space="preserve">Page </w:t>
    </w:r>
    <w:r>
      <w:rPr>
        <w:rFonts w:ascii="Arial" w:cs="Arial" w:eastAsia="Arial" w:hAnsi="Arial"/>
        <w:color w:val="5C5C5C"/>
        <w:sz w:val="16"/>
        <w:szCs w:val="16"/>
      </w:rPr>
      <w:fldChar w:fldCharType="begin"/>
      <w:instrText xml:space="preserve">PAGE</w:instrText>
      <w:fldChar w:fldCharType="separate"/>
      <w:fldChar w:fldCharType="end"/>
    </w:r>
    <w:r>
      <w:rPr>
        <w:rFonts w:ascii="Arial" w:cs="Arial" w:eastAsia="Arial" w:hAnsi="Arial"/>
        <w:color w:val="5C5C5C"/>
        <w:sz w:val="16"/>
        <w:szCs w:val="16"/>
      </w:rPr>
      <w:t xml:space="preserve"> of </w:t>
    </w:r>
    <w:r>
      <w:rPr>
        <w:rFonts w:ascii="Arial" w:cs="Arial" w:eastAsia="Arial" w:hAnsi="Arial"/>
        <w:color w:val="5C5C5C"/>
        <w:sz w:val="16"/>
        <w:szCs w:val="16"/>
      </w:rPr>
      <w:fldChar w:fldCharType="begin"/>
      <w:instrText xml:space="preserve">NUMPAGES</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w:p>
    <w:pPr>
      <w:pBdr>
        <w:bottom w:val="single" w:color="8A6D3B" w:sz="8" w:space="6"/>
      </w:pBdr>
      <w:spacing w:after="40"/>
    </w:pPr>
    <w:r>
      <w:rPr>
        <w:rFonts w:ascii="Arial" w:cs="Arial" w:eastAsia="Arial" w:hAnsi="Arial"/>
        <w:b/>
        <w:bCs/>
        <w:smallCaps/>
        <w:color w:val="1B2A4A"/>
        <w:sz w:val="16"/>
        <w:szCs w:val="16"/>
      </w:rPr>
      <w:t xml:space="preserve">THE NEVADA CONSERVATIVE</w:t>
    </w:r>
    <w:r>
      <w:rPr>
        <w:rFonts w:ascii="Arial" w:cs="Arial" w:eastAsia="Arial" w:hAnsi="Arial"/>
        <w:color w:val="8A6D3B"/>
        <w:sz w:val="16"/>
        <w:szCs w:val="16"/>
      </w:rPr>
      <w:t xml:space="preserve">   ·   </w:t>
    </w:r>
    <w:r>
      <w:rPr>
        <w:rFonts w:ascii="Arial" w:cs="Arial" w:eastAsia="Arial" w:hAnsi="Arial"/>
        <w:color w:val="5C5C5C"/>
        <w:sz w:val="16"/>
        <w:szCs w:val="16"/>
      </w:rPr>
      <w:t xml:space="preserve">Podcast Companion  ·  September 2026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Georgia" w:cs="Georgia" w:eastAsia="Georgia" w:hAnsi="Georgia"/>
        <w:sz w:val="22"/>
        <w:szCs w:val="22"/>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 w:type="paragraph" w:styleId="Heading1">
    <w:name w:val="Heading 1"/>
    <w:basedOn w:val="Normal"/>
    <w:next w:val="Normal"/>
    <w:qFormat/>
    <w:pPr>
      <w:spacing w:after="160" w:before="80"/>
      <w:outlineLvl w:val="0"/>
    </w:pPr>
    <w:rPr>
      <w:rFonts w:ascii="Arial" w:cs="Arial" w:eastAsia="Arial" w:hAnsi="Arial"/>
      <w:b/>
      <w:bCs/>
      <w:color w:val="1B2A4A"/>
      <w:sz w:val="36"/>
      <w:szCs w:val="36"/>
    </w:rPr>
  </w:style>
  <w:style w:type="paragraph" w:styleId="Heading2">
    <w:name w:val="Heading 2"/>
    <w:basedOn w:val="Normal"/>
    <w:next w:val="Normal"/>
    <w:qFormat/>
    <w:pPr>
      <w:spacing w:after="120" w:before="280"/>
      <w:outlineLvl w:val="1"/>
    </w:pPr>
    <w:rPr>
      <w:rFonts w:ascii="Arial" w:cs="Arial" w:eastAsia="Arial" w:hAnsi="Arial"/>
      <w:b/>
      <w:bCs/>
      <w:color w:val="8A6D3B"/>
      <w:sz w:val="24"/>
      <w:szCs w:val="24"/>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_rels/header1.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Three Systems: How They Began and What They Teach</dc:title>
  <dc:creator>The Nevada Conservative</dc:creator>
  <dc:description>Full podcast companion narratives on Islam, Communism, and Capitalism.</dc:description>
  <cp:lastModifiedBy>Un-named</cp:lastModifiedBy>
  <cp:revision>1</cp:revision>
  <dcterms:created xsi:type="dcterms:W3CDTF">2026-09-09T17:24:19.977Z</dcterms:created>
  <dcterms:modified xsi:type="dcterms:W3CDTF">2026-09-09T17:24:19.977Z</dcterms:modified>
</cp:coreProperties>
</file>

<file path=docProps/custom.xml><?xml version="1.0" encoding="utf-8"?>
<Properties xmlns="http://schemas.openxmlformats.org/officeDocument/2006/custom-properties" xmlns:vt="http://schemas.openxmlformats.org/officeDocument/2006/docPropsVTypes"/>
</file>